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15460" w14:textId="77777777" w:rsidR="007067A0" w:rsidRDefault="007067A0">
      <w:pPr>
        <w:jc w:val="both"/>
        <w:rPr>
          <w:rFonts w:ascii="Arial" w:hAnsi="Arial" w:cs="Arial"/>
        </w:rPr>
      </w:pPr>
    </w:p>
    <w:p w14:paraId="79915461" w14:textId="77777777" w:rsidR="007067A0" w:rsidRDefault="007067A0">
      <w:pPr>
        <w:jc w:val="both"/>
        <w:rPr>
          <w:rFonts w:ascii="Arial" w:hAnsi="Arial" w:cs="Arial"/>
        </w:rPr>
      </w:pPr>
    </w:p>
    <w:p w14:paraId="79915462" w14:textId="77777777" w:rsidR="007067A0" w:rsidRDefault="007067A0">
      <w:pPr>
        <w:jc w:val="both"/>
        <w:rPr>
          <w:rFonts w:ascii="Arial" w:hAnsi="Arial" w:cs="Arial"/>
        </w:rPr>
      </w:pPr>
    </w:p>
    <w:p w14:paraId="79915463" w14:textId="77777777" w:rsidR="007067A0" w:rsidRDefault="007067A0">
      <w:pPr>
        <w:jc w:val="both"/>
        <w:rPr>
          <w:rFonts w:ascii="Arial" w:hAnsi="Arial" w:cs="Arial"/>
        </w:rPr>
      </w:pPr>
    </w:p>
    <w:p w14:paraId="79915464" w14:textId="77777777" w:rsidR="007067A0" w:rsidRDefault="007067A0">
      <w:pPr>
        <w:jc w:val="both"/>
        <w:rPr>
          <w:rFonts w:ascii="Arial" w:hAnsi="Arial" w:cs="Arial"/>
        </w:rPr>
      </w:pPr>
    </w:p>
    <w:p w14:paraId="79915465" w14:textId="77777777" w:rsidR="007067A0" w:rsidRDefault="007067A0">
      <w:pPr>
        <w:jc w:val="both"/>
        <w:rPr>
          <w:rFonts w:ascii="Arial" w:hAnsi="Arial" w:cs="Arial"/>
        </w:rPr>
      </w:pPr>
    </w:p>
    <w:p w14:paraId="79915466" w14:textId="77777777" w:rsidR="007067A0" w:rsidRDefault="007067A0">
      <w:pPr>
        <w:jc w:val="both"/>
        <w:rPr>
          <w:rFonts w:ascii="Arial" w:hAnsi="Arial" w:cs="Arial"/>
        </w:rPr>
      </w:pPr>
    </w:p>
    <w:p w14:paraId="79915467" w14:textId="77777777" w:rsidR="007067A0" w:rsidRDefault="007067A0">
      <w:pPr>
        <w:jc w:val="both"/>
        <w:rPr>
          <w:rFonts w:ascii="Arial" w:hAnsi="Arial" w:cs="Arial"/>
        </w:rPr>
      </w:pPr>
    </w:p>
    <w:p w14:paraId="79915468" w14:textId="612D1184" w:rsidR="007067A0" w:rsidRDefault="00A337D9">
      <w:pPr>
        <w:jc w:val="both"/>
      </w:pPr>
      <w:r>
        <w:rPr>
          <w:rFonts w:ascii="Arial" w:hAnsi="Arial" w:cs="Arial"/>
          <w:b/>
          <w:sz w:val="36"/>
          <w:szCs w:val="36"/>
        </w:rPr>
        <w:t>ACQUISIZIONE</w:t>
      </w:r>
      <w:r>
        <w:rPr>
          <w:rFonts w:ascii="Arial" w:hAnsi="Arial" w:cs="Arial"/>
          <w:b/>
          <w:bCs/>
          <w:sz w:val="36"/>
          <w:szCs w:val="36"/>
        </w:rPr>
        <w:t xml:space="preserve"> DELLA BANCA DATI HAVER ANALYTICS PER IL DIPARTIMENTO DEL TESORO</w:t>
      </w:r>
    </w:p>
    <w:p w14:paraId="79915469" w14:textId="77777777" w:rsidR="007067A0" w:rsidRDefault="007067A0">
      <w:pPr>
        <w:rPr>
          <w:rFonts w:ascii="Arial" w:hAnsi="Arial" w:cs="Arial"/>
          <w:b/>
          <w:bCs/>
        </w:rPr>
      </w:pPr>
    </w:p>
    <w:p w14:paraId="7991546A" w14:textId="77777777" w:rsidR="007067A0" w:rsidRDefault="007067A0">
      <w:pPr>
        <w:rPr>
          <w:rFonts w:ascii="Arial" w:hAnsi="Arial" w:cs="Arial"/>
          <w:b/>
          <w:bCs/>
        </w:rPr>
      </w:pPr>
    </w:p>
    <w:p w14:paraId="7991546B" w14:textId="77777777" w:rsidR="007067A0" w:rsidRDefault="007067A0">
      <w:pPr>
        <w:rPr>
          <w:rFonts w:ascii="Arial" w:hAnsi="Arial" w:cs="Arial"/>
          <w:b/>
          <w:bCs/>
        </w:rPr>
      </w:pPr>
    </w:p>
    <w:p w14:paraId="7991546C" w14:textId="77777777" w:rsidR="007067A0" w:rsidRDefault="007067A0">
      <w:pPr>
        <w:rPr>
          <w:rFonts w:ascii="Arial" w:hAnsi="Arial" w:cs="Arial"/>
          <w:b/>
          <w:bCs/>
        </w:rPr>
      </w:pPr>
    </w:p>
    <w:p w14:paraId="7991546D" w14:textId="77777777" w:rsidR="007067A0" w:rsidRDefault="007067A0">
      <w:pPr>
        <w:rPr>
          <w:rFonts w:ascii="Arial" w:hAnsi="Arial" w:cs="Arial"/>
          <w:b/>
          <w:bCs/>
        </w:rPr>
      </w:pPr>
    </w:p>
    <w:p w14:paraId="7991546E" w14:textId="77777777" w:rsidR="007067A0" w:rsidRDefault="007067A0">
      <w:pPr>
        <w:jc w:val="both"/>
        <w:rPr>
          <w:rFonts w:ascii="Arial" w:hAnsi="Arial" w:cs="Arial"/>
        </w:rPr>
      </w:pPr>
    </w:p>
    <w:p w14:paraId="7991546F" w14:textId="77777777" w:rsidR="007067A0" w:rsidRDefault="007067A0">
      <w:pPr>
        <w:jc w:val="both"/>
        <w:rPr>
          <w:rFonts w:ascii="Arial" w:hAnsi="Arial" w:cs="Arial"/>
        </w:rPr>
      </w:pPr>
    </w:p>
    <w:p w14:paraId="79915470" w14:textId="77777777" w:rsidR="007067A0" w:rsidRDefault="007067A0">
      <w:pPr>
        <w:jc w:val="both"/>
        <w:rPr>
          <w:rFonts w:ascii="Arial" w:hAnsi="Arial" w:cs="Arial"/>
        </w:rPr>
      </w:pPr>
    </w:p>
    <w:p w14:paraId="79915471" w14:textId="77777777" w:rsidR="007067A0" w:rsidRDefault="007067A0">
      <w:pPr>
        <w:pStyle w:val="Titolo4"/>
        <w:jc w:val="left"/>
        <w:rPr>
          <w:rFonts w:ascii="Arial" w:hAnsi="Arial" w:cs="Arial"/>
        </w:rPr>
      </w:pPr>
    </w:p>
    <w:p w14:paraId="79915472" w14:textId="77777777" w:rsidR="007067A0" w:rsidRDefault="00A337D9">
      <w:pPr>
        <w:pStyle w:val="Titolo4"/>
        <w:jc w:val="left"/>
        <w:rPr>
          <w:rFonts w:ascii="Arial" w:hAnsi="Arial" w:cs="Arial"/>
          <w:sz w:val="28"/>
          <w:szCs w:val="28"/>
        </w:rPr>
      </w:pPr>
      <w:r>
        <w:rPr>
          <w:rFonts w:ascii="Arial" w:hAnsi="Arial" w:cs="Arial"/>
          <w:sz w:val="28"/>
          <w:szCs w:val="28"/>
        </w:rPr>
        <w:t>DOCUMENTO DI CONSULTAZIONE DEL MERCATO</w:t>
      </w:r>
    </w:p>
    <w:p w14:paraId="79915473" w14:textId="77777777" w:rsidR="007067A0" w:rsidRDefault="007067A0">
      <w:pPr>
        <w:jc w:val="both"/>
        <w:rPr>
          <w:rFonts w:ascii="Arial" w:hAnsi="Arial" w:cs="Arial"/>
          <w:sz w:val="20"/>
          <w:szCs w:val="20"/>
        </w:rPr>
      </w:pPr>
    </w:p>
    <w:p w14:paraId="79915474" w14:textId="77777777" w:rsidR="007067A0" w:rsidRDefault="007067A0">
      <w:pPr>
        <w:spacing w:line="360" w:lineRule="auto"/>
        <w:rPr>
          <w:rFonts w:ascii="Arial" w:hAnsi="Arial" w:cs="Arial"/>
          <w:sz w:val="20"/>
          <w:szCs w:val="20"/>
        </w:rPr>
      </w:pPr>
    </w:p>
    <w:p w14:paraId="79915475" w14:textId="77777777" w:rsidR="007067A0" w:rsidRDefault="007067A0">
      <w:pPr>
        <w:spacing w:line="360" w:lineRule="auto"/>
        <w:rPr>
          <w:rFonts w:ascii="Arial" w:hAnsi="Arial" w:cs="Arial"/>
          <w:sz w:val="20"/>
          <w:szCs w:val="20"/>
        </w:rPr>
      </w:pPr>
    </w:p>
    <w:p w14:paraId="79915476" w14:textId="77777777" w:rsidR="007067A0" w:rsidRDefault="007067A0">
      <w:pPr>
        <w:spacing w:line="360" w:lineRule="auto"/>
        <w:rPr>
          <w:rFonts w:ascii="Arial" w:hAnsi="Arial" w:cs="Arial"/>
          <w:sz w:val="20"/>
          <w:szCs w:val="20"/>
        </w:rPr>
      </w:pPr>
    </w:p>
    <w:p w14:paraId="79915477" w14:textId="77777777" w:rsidR="007067A0" w:rsidRDefault="007067A0">
      <w:pPr>
        <w:spacing w:line="360" w:lineRule="auto"/>
        <w:rPr>
          <w:rFonts w:ascii="Arial" w:hAnsi="Arial" w:cs="Arial"/>
          <w:sz w:val="20"/>
          <w:szCs w:val="20"/>
        </w:rPr>
      </w:pPr>
    </w:p>
    <w:p w14:paraId="79915478" w14:textId="77777777" w:rsidR="007067A0" w:rsidRDefault="007067A0">
      <w:pPr>
        <w:pStyle w:val="Titolo4"/>
        <w:jc w:val="left"/>
        <w:rPr>
          <w:rFonts w:ascii="Arial" w:hAnsi="Arial" w:cs="Arial"/>
          <w:sz w:val="20"/>
          <w:szCs w:val="20"/>
        </w:rPr>
      </w:pPr>
    </w:p>
    <w:p w14:paraId="79915479" w14:textId="77777777" w:rsidR="007067A0" w:rsidRDefault="007067A0">
      <w:pPr>
        <w:pStyle w:val="Titolo4"/>
        <w:jc w:val="left"/>
        <w:rPr>
          <w:rFonts w:ascii="Arial" w:hAnsi="Arial" w:cs="Arial"/>
          <w:sz w:val="20"/>
          <w:szCs w:val="20"/>
        </w:rPr>
      </w:pPr>
    </w:p>
    <w:p w14:paraId="7991547A" w14:textId="77777777" w:rsidR="007067A0" w:rsidRDefault="007067A0">
      <w:pPr>
        <w:rPr>
          <w:rFonts w:ascii="Arial" w:hAnsi="Arial" w:cs="Arial"/>
        </w:rPr>
      </w:pPr>
    </w:p>
    <w:p w14:paraId="7991547B" w14:textId="77777777" w:rsidR="007067A0" w:rsidRDefault="00A337D9">
      <w:pPr>
        <w:spacing w:line="276" w:lineRule="auto"/>
        <w:jc w:val="both"/>
        <w:rPr>
          <w:rFonts w:ascii="Arial" w:hAnsi="Arial" w:cs="Arial"/>
          <w:b/>
          <w:bCs/>
          <w:i/>
          <w:sz w:val="20"/>
          <w:szCs w:val="20"/>
        </w:rPr>
      </w:pPr>
      <w:r>
        <w:rPr>
          <w:rFonts w:ascii="Arial" w:hAnsi="Arial" w:cs="Arial"/>
          <w:b/>
          <w:bCs/>
          <w:i/>
          <w:sz w:val="20"/>
          <w:szCs w:val="20"/>
        </w:rPr>
        <w:t>Da inviare a mezzo mail all’indirizzo:</w:t>
      </w:r>
    </w:p>
    <w:p w14:paraId="7991547C" w14:textId="77777777" w:rsidR="007067A0" w:rsidRDefault="007067A0">
      <w:pPr>
        <w:spacing w:line="276" w:lineRule="auto"/>
        <w:jc w:val="both"/>
        <w:rPr>
          <w:rFonts w:ascii="Arial" w:hAnsi="Arial" w:cs="Arial"/>
          <w:bCs/>
          <w:sz w:val="20"/>
          <w:szCs w:val="20"/>
        </w:rPr>
      </w:pPr>
    </w:p>
    <w:p w14:paraId="7991547D" w14:textId="77777777" w:rsidR="007067A0" w:rsidRPr="007560FC" w:rsidRDefault="00A337D9">
      <w:pPr>
        <w:pStyle w:val="TitoloDocumento"/>
        <w:jc w:val="both"/>
      </w:pPr>
      <w:hyperlink r:id="rId7" w:history="1">
        <w:r w:rsidRPr="007560FC">
          <w:rPr>
            <w:b w:val="0"/>
            <w:color w:val="0077CF"/>
            <w:sz w:val="20"/>
          </w:rPr>
          <w:t>ictconsip@postacert.consip.it</w:t>
        </w:r>
      </w:hyperlink>
    </w:p>
    <w:p w14:paraId="7991547E" w14:textId="77777777" w:rsidR="007067A0" w:rsidRPr="007560FC" w:rsidRDefault="007067A0">
      <w:pPr>
        <w:spacing w:line="276" w:lineRule="auto"/>
        <w:jc w:val="both"/>
        <w:rPr>
          <w:rFonts w:ascii="Arial" w:hAnsi="Arial" w:cs="Arial"/>
          <w:b/>
          <w:bCs/>
          <w:sz w:val="20"/>
          <w:szCs w:val="20"/>
        </w:rPr>
      </w:pPr>
    </w:p>
    <w:p w14:paraId="7991547F" w14:textId="77777777" w:rsidR="007067A0" w:rsidRPr="007560FC" w:rsidRDefault="007067A0">
      <w:pPr>
        <w:spacing w:line="276" w:lineRule="auto"/>
        <w:jc w:val="both"/>
        <w:rPr>
          <w:rFonts w:ascii="Arial" w:hAnsi="Arial" w:cs="Arial"/>
          <w:bCs/>
          <w:sz w:val="20"/>
          <w:szCs w:val="20"/>
        </w:rPr>
      </w:pPr>
    </w:p>
    <w:p w14:paraId="79915480" w14:textId="77777777" w:rsidR="007067A0" w:rsidRPr="007560FC" w:rsidRDefault="007067A0">
      <w:pPr>
        <w:spacing w:line="276" w:lineRule="auto"/>
        <w:jc w:val="both"/>
        <w:rPr>
          <w:rFonts w:ascii="Arial" w:hAnsi="Arial" w:cs="Arial"/>
          <w:bCs/>
          <w:sz w:val="20"/>
          <w:szCs w:val="20"/>
        </w:rPr>
      </w:pPr>
    </w:p>
    <w:p w14:paraId="79915481" w14:textId="77777777" w:rsidR="007067A0" w:rsidRPr="007560FC" w:rsidRDefault="007067A0">
      <w:pPr>
        <w:spacing w:line="276" w:lineRule="auto"/>
        <w:jc w:val="both"/>
        <w:rPr>
          <w:rFonts w:ascii="Arial" w:hAnsi="Arial" w:cs="Arial"/>
          <w:bCs/>
          <w:sz w:val="20"/>
          <w:szCs w:val="20"/>
        </w:rPr>
      </w:pPr>
    </w:p>
    <w:p w14:paraId="79915482" w14:textId="77777777" w:rsidR="007067A0" w:rsidRPr="007560FC" w:rsidRDefault="007067A0">
      <w:pPr>
        <w:spacing w:line="276" w:lineRule="auto"/>
        <w:jc w:val="both"/>
        <w:rPr>
          <w:rFonts w:ascii="Arial" w:hAnsi="Arial" w:cs="Arial"/>
          <w:bCs/>
          <w:sz w:val="20"/>
          <w:szCs w:val="20"/>
        </w:rPr>
      </w:pPr>
    </w:p>
    <w:p w14:paraId="79915483" w14:textId="64362BD3" w:rsidR="007067A0" w:rsidRPr="007560FC" w:rsidRDefault="00A337D9">
      <w:pPr>
        <w:spacing w:line="276" w:lineRule="auto"/>
        <w:jc w:val="both"/>
      </w:pPr>
      <w:r w:rsidRPr="007560FC">
        <w:rPr>
          <w:rFonts w:ascii="Arial" w:hAnsi="Arial" w:cs="Arial"/>
          <w:bCs/>
          <w:sz w:val="20"/>
          <w:szCs w:val="20"/>
        </w:rPr>
        <w:t>Rom</w:t>
      </w:r>
      <w:r w:rsidR="007560FC">
        <w:rPr>
          <w:rFonts w:ascii="Arial" w:hAnsi="Arial" w:cs="Arial"/>
          <w:bCs/>
          <w:sz w:val="20"/>
          <w:szCs w:val="20"/>
        </w:rPr>
        <w:t>a, 22/01/2026</w:t>
      </w:r>
    </w:p>
    <w:p w14:paraId="79915484" w14:textId="7BF73A0D" w:rsidR="00592D50" w:rsidRPr="007560FC" w:rsidRDefault="00592D50">
      <w:pPr>
        <w:suppressAutoHyphens w:val="0"/>
      </w:pPr>
      <w:r w:rsidRPr="007560FC">
        <w:br w:type="page"/>
      </w:r>
    </w:p>
    <w:p w14:paraId="567B1076" w14:textId="77777777" w:rsidR="007067A0" w:rsidRPr="007560FC" w:rsidRDefault="007067A0" w:rsidP="00592D50"/>
    <w:p w14:paraId="79915485" w14:textId="77777777" w:rsidR="007067A0" w:rsidRDefault="00A337D9" w:rsidP="00592D50">
      <w:pPr>
        <w:rPr>
          <w:rFonts w:ascii="Arial" w:hAnsi="Arial" w:cs="Arial"/>
          <w:b/>
          <w:bCs/>
        </w:rPr>
      </w:pPr>
      <w:r w:rsidRPr="00592D50">
        <w:rPr>
          <w:rFonts w:ascii="Arial" w:hAnsi="Arial" w:cs="Arial"/>
          <w:b/>
          <w:bCs/>
        </w:rPr>
        <w:t>PREMESSA</w:t>
      </w:r>
    </w:p>
    <w:p w14:paraId="42818D3F" w14:textId="77777777" w:rsidR="00592D50" w:rsidRPr="00592D50" w:rsidRDefault="00592D50" w:rsidP="00592D50">
      <w:pPr>
        <w:rPr>
          <w:rFonts w:ascii="Arial" w:hAnsi="Arial" w:cs="Arial"/>
          <w:b/>
          <w:bCs/>
        </w:rPr>
      </w:pPr>
    </w:p>
    <w:p w14:paraId="79915486" w14:textId="77777777" w:rsidR="007067A0" w:rsidRDefault="00A337D9">
      <w:pPr>
        <w:spacing w:after="120" w:line="276" w:lineRule="auto"/>
        <w:jc w:val="both"/>
      </w:pPr>
      <w:r>
        <w:rPr>
          <w:rFonts w:ascii="Arial" w:hAnsi="Arial" w:cs="Arial"/>
          <w:sz w:val="20"/>
          <w:szCs w:val="20"/>
        </w:rPr>
        <w:t>La presente consultazione di mercato è relativa all’acquisizione di Banche dati Haver Analytics per il Dipartimento del Tesoro.</w:t>
      </w:r>
    </w:p>
    <w:p w14:paraId="79915487" w14:textId="77777777" w:rsidR="007067A0" w:rsidRDefault="00A337D9">
      <w:pPr>
        <w:spacing w:after="120" w:line="276" w:lineRule="auto"/>
        <w:jc w:val="both"/>
        <w:rPr>
          <w:rFonts w:ascii="Arial" w:hAnsi="Arial" w:cs="Arial"/>
          <w:sz w:val="20"/>
          <w:szCs w:val="20"/>
        </w:rPr>
      </w:pPr>
      <w:r>
        <w:rPr>
          <w:rFonts w:ascii="Arial" w:hAnsi="Arial" w:cs="Arial"/>
          <w:sz w:val="20"/>
          <w:szCs w:val="20"/>
        </w:rPr>
        <w:t>I requisiti e le caratteristiche tecniche e/o funzionali sono meglio specificati nel corpo del presente documento.</w:t>
      </w:r>
    </w:p>
    <w:p w14:paraId="79915488" w14:textId="77777777" w:rsidR="007067A0" w:rsidRDefault="00A337D9">
      <w:pPr>
        <w:pStyle w:val="Corpodeltesto21"/>
        <w:spacing w:after="120" w:line="276" w:lineRule="auto"/>
        <w:rPr>
          <w:rFonts w:ascii="Arial" w:hAnsi="Arial" w:cs="Arial"/>
          <w:sz w:val="20"/>
          <w:szCs w:val="20"/>
        </w:rPr>
      </w:pPr>
      <w:r>
        <w:rPr>
          <w:rFonts w:ascii="Arial" w:hAnsi="Arial" w:cs="Arial"/>
          <w:sz w:val="20"/>
          <w:szCs w:val="20"/>
        </w:rPr>
        <w:t>Consip S.p.A. informa pertanto il mercato della fornitura circa gli elementi di seguito riportati, con l’obiettivo di:</w:t>
      </w:r>
    </w:p>
    <w:p w14:paraId="79915489" w14:textId="77777777" w:rsidR="007067A0" w:rsidRDefault="00A337D9">
      <w:pPr>
        <w:pStyle w:val="Corpodeltesto21"/>
        <w:numPr>
          <w:ilvl w:val="0"/>
          <w:numId w:val="2"/>
        </w:numPr>
        <w:tabs>
          <w:tab w:val="left" w:pos="360"/>
        </w:tabs>
        <w:spacing w:after="120" w:line="276" w:lineRule="auto"/>
        <w:ind w:left="360"/>
        <w:rPr>
          <w:rFonts w:ascii="Arial" w:hAnsi="Arial" w:cs="Arial"/>
          <w:sz w:val="20"/>
          <w:szCs w:val="20"/>
        </w:rPr>
      </w:pPr>
      <w:r>
        <w:rPr>
          <w:rFonts w:ascii="Arial" w:hAnsi="Arial" w:cs="Arial"/>
          <w:sz w:val="20"/>
          <w:szCs w:val="20"/>
        </w:rPr>
        <w:t>garantire la massima pubblicità all’iniziativa per assicurare la più ampia diffusione delle informazioni ed un celere svolgimento delle procedure di acquisto;</w:t>
      </w:r>
    </w:p>
    <w:p w14:paraId="7991548A" w14:textId="77777777" w:rsidR="007067A0" w:rsidRDefault="00A337D9">
      <w:pPr>
        <w:pStyle w:val="Corpodeltesto21"/>
        <w:numPr>
          <w:ilvl w:val="0"/>
          <w:numId w:val="2"/>
        </w:numPr>
        <w:tabs>
          <w:tab w:val="left" w:pos="360"/>
        </w:tabs>
        <w:spacing w:after="120" w:line="276" w:lineRule="auto"/>
        <w:ind w:left="360"/>
        <w:rPr>
          <w:rFonts w:ascii="Arial" w:hAnsi="Arial" w:cs="Arial"/>
          <w:sz w:val="20"/>
          <w:szCs w:val="20"/>
        </w:rPr>
      </w:pPr>
      <w:r>
        <w:rPr>
          <w:rFonts w:ascii="Arial" w:hAnsi="Arial" w:cs="Arial"/>
          <w:sz w:val="20"/>
          <w:szCs w:val="20"/>
        </w:rPr>
        <w:t>verificare l’effettiva esistenza di più operatori economici potenzialmente interessati;</w:t>
      </w:r>
    </w:p>
    <w:p w14:paraId="7991548B" w14:textId="77777777" w:rsidR="007067A0" w:rsidRDefault="00A337D9">
      <w:pPr>
        <w:pStyle w:val="Corpodeltesto21"/>
        <w:numPr>
          <w:ilvl w:val="0"/>
          <w:numId w:val="2"/>
        </w:numPr>
        <w:tabs>
          <w:tab w:val="left" w:pos="360"/>
        </w:tabs>
        <w:spacing w:after="120" w:line="276" w:lineRule="auto"/>
        <w:ind w:left="360"/>
        <w:rPr>
          <w:rFonts w:ascii="Arial" w:hAnsi="Arial" w:cs="Arial"/>
          <w:sz w:val="20"/>
          <w:szCs w:val="20"/>
        </w:rPr>
      </w:pPr>
      <w:r>
        <w:rPr>
          <w:rFonts w:ascii="Arial" w:hAnsi="Arial" w:cs="Arial"/>
          <w:sz w:val="20"/>
          <w:szCs w:val="20"/>
        </w:rPr>
        <w:t>pubblicizzare al meglio le caratteristiche qualitative e tecniche dei beni e servizi oggetto di analisi;</w:t>
      </w:r>
    </w:p>
    <w:p w14:paraId="7991548C" w14:textId="77777777" w:rsidR="007067A0" w:rsidRDefault="00A337D9">
      <w:pPr>
        <w:pStyle w:val="Corpodeltesto21"/>
        <w:numPr>
          <w:ilvl w:val="0"/>
          <w:numId w:val="2"/>
        </w:numPr>
        <w:tabs>
          <w:tab w:val="left" w:pos="360"/>
        </w:tabs>
        <w:spacing w:after="120" w:line="276" w:lineRule="auto"/>
        <w:ind w:left="360"/>
        <w:rPr>
          <w:rFonts w:ascii="Arial" w:hAnsi="Arial" w:cs="Arial"/>
          <w:sz w:val="20"/>
          <w:szCs w:val="20"/>
        </w:rPr>
      </w:pPr>
      <w:r>
        <w:rPr>
          <w:rFonts w:ascii="Arial" w:hAnsi="Arial" w:cs="Arial"/>
          <w:sz w:val="20"/>
          <w:szCs w:val="20"/>
        </w:rPr>
        <w:t>ricevere, da parte dei soggetti interessati, osservazioni e suggerimenti per una più compiuta conoscenza del mercato avuto riguardo a eventuali soluzioni alternative, purché rispondenti in toto alle esigenze dell’Amministrazione di seguito riportate, nonché alle condizioni di prezzo mediamente praticate.</w:t>
      </w:r>
    </w:p>
    <w:p w14:paraId="7991548D" w14:textId="77777777" w:rsidR="007067A0" w:rsidRDefault="00A337D9">
      <w:pPr>
        <w:spacing w:before="120" w:after="120" w:line="276" w:lineRule="auto"/>
        <w:jc w:val="both"/>
        <w:rPr>
          <w:rFonts w:ascii="Arial" w:hAnsi="Arial" w:cs="Arial"/>
          <w:sz w:val="20"/>
          <w:szCs w:val="20"/>
        </w:rPr>
      </w:pPr>
      <w:r>
        <w:rPr>
          <w:rFonts w:ascii="Arial" w:hAnsi="Arial" w:cs="Arial"/>
          <w:sz w:val="20"/>
          <w:szCs w:val="20"/>
        </w:rPr>
        <w:t xml:space="preserve">Ciò anche al fine di confermare o meno l’esistenza dei presupposti che consentono ai sensi dell’art. 76 del D.lgs. 36/2023 il ricorso alla procedura negoziata senza pubblicazione del bando. </w:t>
      </w:r>
    </w:p>
    <w:p w14:paraId="7991548E" w14:textId="77777777" w:rsidR="007067A0" w:rsidRDefault="00A337D9">
      <w:pPr>
        <w:spacing w:before="120" w:after="120" w:line="276" w:lineRule="auto"/>
        <w:jc w:val="both"/>
      </w:pPr>
      <w:r>
        <w:rPr>
          <w:rFonts w:ascii="Arial" w:hAnsi="Arial" w:cs="Arial"/>
          <w:sz w:val="20"/>
          <w:szCs w:val="20"/>
        </w:rPr>
        <w:t xml:space="preserve">Vi preghiamo di fornire il Vostro contributo - previa presa visione dell’informativa sul trattamento dei dati personali sotto riportata - compilando il presente questionario e inviandolo entro </w:t>
      </w:r>
      <w:r>
        <w:rPr>
          <w:rFonts w:ascii="Arial" w:hAnsi="Arial" w:cs="Arial"/>
          <w:b/>
          <w:bCs/>
          <w:sz w:val="20"/>
          <w:szCs w:val="20"/>
          <w:u w:val="single"/>
        </w:rPr>
        <w:t>15 giorni solari</w:t>
      </w:r>
      <w:r>
        <w:rPr>
          <w:rFonts w:ascii="Arial" w:hAnsi="Arial" w:cs="Arial"/>
          <w:bCs/>
          <w:sz w:val="20"/>
          <w:szCs w:val="20"/>
          <w:u w:val="single"/>
        </w:rPr>
        <w:t xml:space="preserve"> dalla data odierna</w:t>
      </w:r>
      <w:r>
        <w:rPr>
          <w:rFonts w:ascii="Arial" w:hAnsi="Arial" w:cs="Arial"/>
          <w:bCs/>
          <w:color w:val="FF0000"/>
          <w:sz w:val="20"/>
          <w:szCs w:val="20"/>
        </w:rPr>
        <w:t xml:space="preserve"> </w:t>
      </w:r>
      <w:r>
        <w:rPr>
          <w:rFonts w:ascii="Arial" w:hAnsi="Arial" w:cs="Arial"/>
          <w:bCs/>
          <w:sz w:val="20"/>
          <w:szCs w:val="20"/>
        </w:rPr>
        <w:t xml:space="preserve">all’indirizzo PEC </w:t>
      </w:r>
      <w:r>
        <w:rPr>
          <w:rFonts w:ascii="Arial" w:hAnsi="Arial" w:cs="Arial"/>
          <w:b/>
          <w:color w:val="0070C0"/>
          <w:sz w:val="20"/>
          <w:szCs w:val="20"/>
        </w:rPr>
        <w:t>ictconsip@postacert.consip.it</w:t>
      </w:r>
      <w:r>
        <w:rPr>
          <w:rFonts w:ascii="Arial" w:hAnsi="Arial" w:cs="Arial"/>
          <w:color w:val="0070C0"/>
          <w:sz w:val="20"/>
          <w:szCs w:val="20"/>
        </w:rPr>
        <w:t>.</w:t>
      </w:r>
    </w:p>
    <w:p w14:paraId="7991548F" w14:textId="77777777" w:rsidR="007067A0" w:rsidRDefault="00A337D9">
      <w:pPr>
        <w:spacing w:before="120" w:after="120" w:line="276" w:lineRule="auto"/>
        <w:jc w:val="both"/>
        <w:rPr>
          <w:rFonts w:ascii="Arial" w:hAnsi="Arial" w:cs="Arial"/>
          <w:sz w:val="20"/>
          <w:szCs w:val="20"/>
        </w:rPr>
      </w:pPr>
      <w:r>
        <w:rPr>
          <w:rFonts w:ascii="Arial" w:hAnsi="Arial" w:cs="Arial"/>
          <w:sz w:val="20"/>
          <w:szCs w:val="20"/>
        </w:rPr>
        <w:t>Tutte le informazioni da Voi fornite con il presente documento saranno utilizzate ai soli fini dello sviluppo dell’iniziativa in oggetto.</w:t>
      </w:r>
    </w:p>
    <w:p w14:paraId="79915490" w14:textId="77777777" w:rsidR="007067A0" w:rsidRDefault="00A337D9">
      <w:pPr>
        <w:spacing w:after="120" w:line="276" w:lineRule="auto"/>
        <w:jc w:val="both"/>
        <w:rPr>
          <w:rFonts w:ascii="Arial" w:hAnsi="Arial" w:cs="Arial"/>
          <w:sz w:val="20"/>
          <w:szCs w:val="20"/>
        </w:rPr>
      </w:pPr>
      <w:r>
        <w:rPr>
          <w:rFonts w:ascii="Arial" w:hAnsi="Arial" w:cs="Arial"/>
          <w:sz w:val="20"/>
          <w:szCs w:val="20"/>
        </w:rPr>
        <w:t>Consip S.p.A., salvo quanto di seguito previsto in materia di trattamento dei dati personali, si impegna a non divulgare a terzi le informazioni raccolte con il presente documento.</w:t>
      </w:r>
    </w:p>
    <w:p w14:paraId="513C462C" w14:textId="77777777" w:rsidR="00592D50" w:rsidRDefault="00592D50">
      <w:pPr>
        <w:spacing w:after="120" w:line="276" w:lineRule="auto"/>
        <w:jc w:val="both"/>
        <w:rPr>
          <w:rFonts w:ascii="Arial" w:hAnsi="Arial" w:cs="Arial"/>
          <w:sz w:val="20"/>
          <w:szCs w:val="20"/>
        </w:rPr>
      </w:pPr>
    </w:p>
    <w:p w14:paraId="79915491" w14:textId="77777777" w:rsidR="007067A0" w:rsidRPr="00592D50" w:rsidRDefault="00A337D9" w:rsidP="00592D50">
      <w:pPr>
        <w:spacing w:after="120" w:line="276" w:lineRule="auto"/>
        <w:jc w:val="both"/>
        <w:rPr>
          <w:rFonts w:ascii="Arial" w:hAnsi="Arial" w:cs="Arial"/>
          <w:sz w:val="20"/>
          <w:szCs w:val="20"/>
        </w:rPr>
      </w:pPr>
      <w:r w:rsidRPr="00592D50">
        <w:rPr>
          <w:rFonts w:ascii="Arial" w:hAnsi="Arial" w:cs="Arial"/>
          <w:sz w:val="20"/>
          <w:szCs w:val="20"/>
        </w:rPr>
        <w:t>L’invio del documento al nostro recapito implica il consenso al trattamento dei dati forniti.</w:t>
      </w:r>
    </w:p>
    <w:p w14:paraId="79915492" w14:textId="77777777" w:rsidR="007067A0" w:rsidRDefault="00A337D9">
      <w:pPr>
        <w:pStyle w:val="Titolo1"/>
        <w:pageBreakBefore/>
        <w:numPr>
          <w:ilvl w:val="0"/>
          <w:numId w:val="0"/>
        </w:numPr>
        <w:spacing w:line="276" w:lineRule="auto"/>
        <w:ind w:left="360" w:hanging="360"/>
        <w:jc w:val="both"/>
      </w:pPr>
      <w:r>
        <w:rPr>
          <w:rFonts w:cs="Arial"/>
          <w:sz w:val="24"/>
        </w:rPr>
        <w:lastRenderedPageBreak/>
        <w:t>Dati Azienda</w:t>
      </w:r>
    </w:p>
    <w:tbl>
      <w:tblPr>
        <w:tblW w:w="8495" w:type="dxa"/>
        <w:tblInd w:w="70" w:type="dxa"/>
        <w:tblLayout w:type="fixed"/>
        <w:tblCellMar>
          <w:left w:w="10" w:type="dxa"/>
          <w:right w:w="10" w:type="dxa"/>
        </w:tblCellMar>
        <w:tblLook w:val="04A0" w:firstRow="1" w:lastRow="0" w:firstColumn="1" w:lastColumn="0" w:noHBand="0" w:noVBand="1"/>
      </w:tblPr>
      <w:tblGrid>
        <w:gridCol w:w="3321"/>
        <w:gridCol w:w="5174"/>
      </w:tblGrid>
      <w:tr w:rsidR="007067A0" w14:paraId="79915495" w14:textId="77777777">
        <w:tc>
          <w:tcPr>
            <w:tcW w:w="3321" w:type="dxa"/>
            <w:tcBorders>
              <w:top w:val="single" w:sz="2" w:space="0" w:color="000080"/>
              <w:bottom w:val="single" w:sz="2" w:space="0" w:color="000080"/>
            </w:tcBorders>
            <w:tcMar>
              <w:top w:w="0" w:type="dxa"/>
              <w:left w:w="70" w:type="dxa"/>
              <w:bottom w:w="0" w:type="dxa"/>
              <w:right w:w="70" w:type="dxa"/>
            </w:tcMar>
            <w:vAlign w:val="center"/>
          </w:tcPr>
          <w:p w14:paraId="79915493" w14:textId="77777777" w:rsidR="007067A0" w:rsidRDefault="00A337D9">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Pr>
                <w:rFonts w:ascii="Arial" w:hAnsi="Arial" w:cs="Arial"/>
                <w:i/>
                <w:sz w:val="20"/>
                <w:szCs w:val="20"/>
              </w:rPr>
              <w:t>Azienda</w:t>
            </w:r>
          </w:p>
        </w:tc>
        <w:tc>
          <w:tcPr>
            <w:tcW w:w="5174" w:type="dxa"/>
            <w:tcBorders>
              <w:top w:val="single" w:sz="2" w:space="0" w:color="000080"/>
              <w:bottom w:val="single" w:sz="2" w:space="0" w:color="000080"/>
            </w:tcBorders>
            <w:tcMar>
              <w:top w:w="0" w:type="dxa"/>
              <w:left w:w="70" w:type="dxa"/>
              <w:bottom w:w="0" w:type="dxa"/>
              <w:right w:w="70" w:type="dxa"/>
            </w:tcMar>
          </w:tcPr>
          <w:p w14:paraId="79915494" w14:textId="77777777" w:rsidR="007067A0" w:rsidRDefault="007067A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7067A0" w14:paraId="79915498" w14:textId="77777777">
        <w:tc>
          <w:tcPr>
            <w:tcW w:w="3321" w:type="dxa"/>
            <w:tcBorders>
              <w:top w:val="single" w:sz="2" w:space="0" w:color="000080"/>
              <w:bottom w:val="single" w:sz="2" w:space="0" w:color="000080"/>
            </w:tcBorders>
            <w:tcMar>
              <w:top w:w="0" w:type="dxa"/>
              <w:left w:w="70" w:type="dxa"/>
              <w:bottom w:w="0" w:type="dxa"/>
              <w:right w:w="70" w:type="dxa"/>
            </w:tcMar>
            <w:vAlign w:val="center"/>
          </w:tcPr>
          <w:p w14:paraId="79915496" w14:textId="77777777" w:rsidR="007067A0" w:rsidRDefault="00A337D9">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Pr>
                <w:rFonts w:ascii="Arial" w:hAnsi="Arial" w:cs="Arial"/>
                <w:i/>
                <w:sz w:val="20"/>
                <w:szCs w:val="20"/>
              </w:rPr>
              <w:t xml:space="preserve">Indirizzo </w:t>
            </w:r>
          </w:p>
        </w:tc>
        <w:tc>
          <w:tcPr>
            <w:tcW w:w="5174" w:type="dxa"/>
            <w:tcBorders>
              <w:top w:val="single" w:sz="2" w:space="0" w:color="000080"/>
              <w:bottom w:val="single" w:sz="2" w:space="0" w:color="000080"/>
            </w:tcBorders>
            <w:tcMar>
              <w:top w:w="0" w:type="dxa"/>
              <w:left w:w="70" w:type="dxa"/>
              <w:bottom w:w="0" w:type="dxa"/>
              <w:right w:w="70" w:type="dxa"/>
            </w:tcMar>
          </w:tcPr>
          <w:p w14:paraId="79915497" w14:textId="77777777" w:rsidR="007067A0" w:rsidRDefault="007067A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7067A0" w14:paraId="7991549B" w14:textId="77777777">
        <w:tc>
          <w:tcPr>
            <w:tcW w:w="3321" w:type="dxa"/>
            <w:tcBorders>
              <w:top w:val="single" w:sz="2" w:space="0" w:color="000080"/>
              <w:bottom w:val="single" w:sz="2" w:space="0" w:color="000080"/>
            </w:tcBorders>
            <w:tcMar>
              <w:top w:w="0" w:type="dxa"/>
              <w:left w:w="70" w:type="dxa"/>
              <w:bottom w:w="0" w:type="dxa"/>
              <w:right w:w="70" w:type="dxa"/>
            </w:tcMar>
            <w:vAlign w:val="center"/>
          </w:tcPr>
          <w:p w14:paraId="79915499" w14:textId="77777777" w:rsidR="007067A0" w:rsidRDefault="00A337D9">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Pr>
                <w:rFonts w:ascii="Arial" w:hAnsi="Arial" w:cs="Arial"/>
                <w:i/>
                <w:sz w:val="20"/>
                <w:szCs w:val="20"/>
              </w:rPr>
              <w:t>Nome e Cognome del referente</w:t>
            </w:r>
          </w:p>
        </w:tc>
        <w:tc>
          <w:tcPr>
            <w:tcW w:w="5174" w:type="dxa"/>
            <w:tcBorders>
              <w:top w:val="single" w:sz="2" w:space="0" w:color="000080"/>
              <w:bottom w:val="single" w:sz="2" w:space="0" w:color="000080"/>
            </w:tcBorders>
            <w:tcMar>
              <w:top w:w="0" w:type="dxa"/>
              <w:left w:w="70" w:type="dxa"/>
              <w:bottom w:w="0" w:type="dxa"/>
              <w:right w:w="70" w:type="dxa"/>
            </w:tcMar>
          </w:tcPr>
          <w:p w14:paraId="7991549A" w14:textId="77777777" w:rsidR="007067A0" w:rsidRDefault="007067A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7067A0" w14:paraId="7991549E" w14:textId="77777777">
        <w:tc>
          <w:tcPr>
            <w:tcW w:w="3321" w:type="dxa"/>
            <w:tcBorders>
              <w:top w:val="single" w:sz="2" w:space="0" w:color="000080"/>
              <w:bottom w:val="single" w:sz="2" w:space="0" w:color="000080"/>
            </w:tcBorders>
            <w:tcMar>
              <w:top w:w="0" w:type="dxa"/>
              <w:left w:w="70" w:type="dxa"/>
              <w:bottom w:w="0" w:type="dxa"/>
              <w:right w:w="70" w:type="dxa"/>
            </w:tcMar>
            <w:vAlign w:val="center"/>
          </w:tcPr>
          <w:p w14:paraId="7991549C" w14:textId="77777777" w:rsidR="007067A0" w:rsidRDefault="00A337D9">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Pr>
                <w:rFonts w:ascii="Arial" w:hAnsi="Arial" w:cs="Arial"/>
                <w:i/>
                <w:sz w:val="20"/>
                <w:szCs w:val="20"/>
              </w:rPr>
              <w:t>Ruolo in azienda</w:t>
            </w:r>
          </w:p>
        </w:tc>
        <w:tc>
          <w:tcPr>
            <w:tcW w:w="5174" w:type="dxa"/>
            <w:tcBorders>
              <w:top w:val="single" w:sz="2" w:space="0" w:color="000080"/>
              <w:bottom w:val="single" w:sz="2" w:space="0" w:color="000080"/>
            </w:tcBorders>
            <w:tcMar>
              <w:top w:w="0" w:type="dxa"/>
              <w:left w:w="70" w:type="dxa"/>
              <w:bottom w:w="0" w:type="dxa"/>
              <w:right w:w="70" w:type="dxa"/>
            </w:tcMar>
          </w:tcPr>
          <w:p w14:paraId="7991549D" w14:textId="77777777" w:rsidR="007067A0" w:rsidRDefault="007067A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7067A0" w14:paraId="799154A1" w14:textId="77777777">
        <w:tc>
          <w:tcPr>
            <w:tcW w:w="3321" w:type="dxa"/>
            <w:tcBorders>
              <w:top w:val="single" w:sz="2" w:space="0" w:color="000080"/>
              <w:bottom w:val="single" w:sz="2" w:space="0" w:color="000080"/>
            </w:tcBorders>
            <w:tcMar>
              <w:top w:w="0" w:type="dxa"/>
              <w:left w:w="70" w:type="dxa"/>
              <w:bottom w:w="0" w:type="dxa"/>
              <w:right w:w="70" w:type="dxa"/>
            </w:tcMar>
            <w:vAlign w:val="center"/>
          </w:tcPr>
          <w:p w14:paraId="7991549F" w14:textId="77777777" w:rsidR="007067A0" w:rsidRDefault="00A337D9">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Pr>
                <w:rFonts w:ascii="Arial" w:hAnsi="Arial" w:cs="Arial"/>
                <w:i/>
                <w:sz w:val="20"/>
                <w:szCs w:val="20"/>
              </w:rPr>
              <w:t xml:space="preserve">Telefono </w:t>
            </w:r>
          </w:p>
        </w:tc>
        <w:tc>
          <w:tcPr>
            <w:tcW w:w="5174" w:type="dxa"/>
            <w:tcBorders>
              <w:top w:val="single" w:sz="2" w:space="0" w:color="000080"/>
              <w:bottom w:val="single" w:sz="2" w:space="0" w:color="000080"/>
            </w:tcBorders>
            <w:tcMar>
              <w:top w:w="0" w:type="dxa"/>
              <w:left w:w="70" w:type="dxa"/>
              <w:bottom w:w="0" w:type="dxa"/>
              <w:right w:w="70" w:type="dxa"/>
            </w:tcMar>
          </w:tcPr>
          <w:p w14:paraId="799154A0" w14:textId="77777777" w:rsidR="007067A0" w:rsidRDefault="007067A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7067A0" w14:paraId="799154A4" w14:textId="77777777">
        <w:tc>
          <w:tcPr>
            <w:tcW w:w="3321" w:type="dxa"/>
            <w:tcBorders>
              <w:top w:val="single" w:sz="2" w:space="0" w:color="000080"/>
              <w:bottom w:val="single" w:sz="2" w:space="0" w:color="000080"/>
            </w:tcBorders>
            <w:tcMar>
              <w:top w:w="0" w:type="dxa"/>
              <w:left w:w="70" w:type="dxa"/>
              <w:bottom w:w="0" w:type="dxa"/>
              <w:right w:w="70" w:type="dxa"/>
            </w:tcMar>
            <w:vAlign w:val="center"/>
          </w:tcPr>
          <w:p w14:paraId="799154A2" w14:textId="77777777" w:rsidR="007067A0" w:rsidRDefault="00A337D9">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Pr>
                <w:rFonts w:ascii="Arial" w:hAnsi="Arial" w:cs="Arial"/>
                <w:i/>
                <w:sz w:val="20"/>
                <w:szCs w:val="20"/>
              </w:rPr>
              <w:t>Fax</w:t>
            </w:r>
          </w:p>
        </w:tc>
        <w:tc>
          <w:tcPr>
            <w:tcW w:w="5174" w:type="dxa"/>
            <w:tcBorders>
              <w:top w:val="single" w:sz="2" w:space="0" w:color="000080"/>
              <w:bottom w:val="single" w:sz="2" w:space="0" w:color="000080"/>
            </w:tcBorders>
            <w:tcMar>
              <w:top w:w="0" w:type="dxa"/>
              <w:left w:w="70" w:type="dxa"/>
              <w:bottom w:w="0" w:type="dxa"/>
              <w:right w:w="70" w:type="dxa"/>
            </w:tcMar>
          </w:tcPr>
          <w:p w14:paraId="799154A3" w14:textId="77777777" w:rsidR="007067A0" w:rsidRDefault="007067A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7067A0" w14:paraId="799154A7" w14:textId="77777777">
        <w:tc>
          <w:tcPr>
            <w:tcW w:w="3321" w:type="dxa"/>
            <w:tcBorders>
              <w:top w:val="single" w:sz="2" w:space="0" w:color="000080"/>
              <w:bottom w:val="single" w:sz="2" w:space="0" w:color="000080"/>
            </w:tcBorders>
            <w:tcMar>
              <w:top w:w="0" w:type="dxa"/>
              <w:left w:w="70" w:type="dxa"/>
              <w:bottom w:w="0" w:type="dxa"/>
              <w:right w:w="70" w:type="dxa"/>
            </w:tcMar>
            <w:vAlign w:val="center"/>
          </w:tcPr>
          <w:p w14:paraId="799154A5" w14:textId="77777777" w:rsidR="007067A0" w:rsidRDefault="00A337D9">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Pr>
                <w:rFonts w:ascii="Arial" w:hAnsi="Arial" w:cs="Arial"/>
                <w:i/>
                <w:sz w:val="20"/>
                <w:szCs w:val="20"/>
              </w:rPr>
              <w:t>Indirizzo e-mail</w:t>
            </w:r>
          </w:p>
        </w:tc>
        <w:tc>
          <w:tcPr>
            <w:tcW w:w="5174" w:type="dxa"/>
            <w:tcBorders>
              <w:top w:val="single" w:sz="2" w:space="0" w:color="000080"/>
              <w:bottom w:val="single" w:sz="2" w:space="0" w:color="000080"/>
            </w:tcBorders>
            <w:tcMar>
              <w:top w:w="0" w:type="dxa"/>
              <w:left w:w="70" w:type="dxa"/>
              <w:bottom w:w="0" w:type="dxa"/>
              <w:right w:w="70" w:type="dxa"/>
            </w:tcMar>
          </w:tcPr>
          <w:p w14:paraId="799154A6" w14:textId="77777777" w:rsidR="007067A0" w:rsidRDefault="007067A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7067A0" w14:paraId="799154AA" w14:textId="77777777">
        <w:tc>
          <w:tcPr>
            <w:tcW w:w="3321" w:type="dxa"/>
            <w:tcBorders>
              <w:top w:val="single" w:sz="2" w:space="0" w:color="000080"/>
              <w:bottom w:val="single" w:sz="2" w:space="0" w:color="000080"/>
            </w:tcBorders>
            <w:tcMar>
              <w:top w:w="0" w:type="dxa"/>
              <w:left w:w="70" w:type="dxa"/>
              <w:bottom w:w="0" w:type="dxa"/>
              <w:right w:w="70" w:type="dxa"/>
            </w:tcMar>
            <w:vAlign w:val="center"/>
          </w:tcPr>
          <w:p w14:paraId="799154A8" w14:textId="77777777" w:rsidR="007067A0" w:rsidRDefault="00A337D9">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Pr>
                <w:rFonts w:ascii="Arial" w:hAnsi="Arial" w:cs="Arial"/>
                <w:i/>
                <w:sz w:val="20"/>
                <w:szCs w:val="20"/>
              </w:rPr>
              <w:t>Data compilazione</w:t>
            </w:r>
          </w:p>
        </w:tc>
        <w:tc>
          <w:tcPr>
            <w:tcW w:w="5174" w:type="dxa"/>
            <w:tcBorders>
              <w:top w:val="single" w:sz="2" w:space="0" w:color="000080"/>
              <w:bottom w:val="single" w:sz="2" w:space="0" w:color="000080"/>
            </w:tcBorders>
            <w:tcMar>
              <w:top w:w="0" w:type="dxa"/>
              <w:left w:w="70" w:type="dxa"/>
              <w:bottom w:w="0" w:type="dxa"/>
              <w:right w:w="70" w:type="dxa"/>
            </w:tcMar>
          </w:tcPr>
          <w:p w14:paraId="799154A9" w14:textId="77777777" w:rsidR="007067A0" w:rsidRDefault="007067A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bl>
    <w:p w14:paraId="799154AB" w14:textId="77777777" w:rsidR="007067A0" w:rsidRDefault="007067A0" w:rsidP="00592D50"/>
    <w:p w14:paraId="799154AC" w14:textId="77777777" w:rsidR="007067A0" w:rsidRDefault="00A337D9" w:rsidP="00592D50">
      <w:pPr>
        <w:rPr>
          <w:rFonts w:ascii="Arial" w:hAnsi="Arial" w:cs="Arial"/>
          <w:b/>
          <w:bCs/>
        </w:rPr>
      </w:pPr>
      <w:r w:rsidRPr="00592D50">
        <w:rPr>
          <w:rFonts w:ascii="Arial" w:hAnsi="Arial" w:cs="Arial"/>
          <w:b/>
          <w:bCs/>
        </w:rPr>
        <w:t>Informativa sul trattamento dei dati personali</w:t>
      </w:r>
    </w:p>
    <w:p w14:paraId="19495D6B" w14:textId="77777777" w:rsidR="00592D50" w:rsidRPr="00592D50" w:rsidRDefault="00592D50" w:rsidP="00592D50">
      <w:pPr>
        <w:rPr>
          <w:rFonts w:ascii="Arial" w:hAnsi="Arial" w:cs="Arial"/>
          <w:b/>
          <w:bCs/>
        </w:rPr>
      </w:pPr>
    </w:p>
    <w:p w14:paraId="799154AD" w14:textId="77777777" w:rsidR="007067A0" w:rsidRDefault="00A337D9">
      <w:pPr>
        <w:spacing w:line="276" w:lineRule="auto"/>
        <w:jc w:val="both"/>
        <w:rPr>
          <w:rFonts w:ascii="Arial" w:hAnsi="Arial" w:cs="Arial"/>
          <w:sz w:val="20"/>
          <w:szCs w:val="20"/>
        </w:rPr>
      </w:pPr>
      <w:r>
        <w:rPr>
          <w:rFonts w:ascii="Arial" w:hAnsi="Arial" w:cs="Arial"/>
          <w:sz w:val="20"/>
          <w:szCs w:val="20"/>
        </w:rPr>
        <w:t>Ai sensi dell'art. 13 del Regolamento europeo 2016/679 relativo alla protezione delle persone fisiche con riguardo al trattamento dei dati personali (nel seguito anche “Regolamento UE”),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799154AE" w14:textId="77777777" w:rsidR="007067A0" w:rsidRDefault="007067A0">
      <w:pPr>
        <w:spacing w:line="276" w:lineRule="auto"/>
        <w:jc w:val="both"/>
        <w:rPr>
          <w:rFonts w:ascii="Arial" w:hAnsi="Arial" w:cs="Arial"/>
          <w:sz w:val="20"/>
          <w:szCs w:val="20"/>
        </w:rPr>
      </w:pPr>
    </w:p>
    <w:p w14:paraId="799154AF" w14:textId="77777777" w:rsidR="007067A0" w:rsidRDefault="00A337D9">
      <w:pPr>
        <w:spacing w:line="276" w:lineRule="auto"/>
        <w:jc w:val="both"/>
        <w:rPr>
          <w:rFonts w:ascii="Arial" w:hAnsi="Arial" w:cs="Arial"/>
          <w:sz w:val="20"/>
          <w:szCs w:val="20"/>
        </w:rPr>
      </w:pPr>
      <w:r>
        <w:rPr>
          <w:rFonts w:ascii="Arial" w:hAnsi="Arial" w:cs="Arial"/>
          <w:sz w:val="20"/>
          <w:szCs w:val="20"/>
        </w:rPr>
        <w:t xml:space="preserve">Il trattamento dei Dati per le anzidette finalità, improntato alla massima riservatezza e sicurezza nel rispetto della normativa nazionale e comunitaria vigente in materia di protezione dei dati personali, avrà luogo con modalità sia informatiche, sia cartacee. </w:t>
      </w:r>
    </w:p>
    <w:p w14:paraId="799154B0" w14:textId="77777777" w:rsidR="007067A0" w:rsidRDefault="00A337D9">
      <w:pPr>
        <w:spacing w:line="276" w:lineRule="auto"/>
        <w:jc w:val="both"/>
        <w:rPr>
          <w:rFonts w:ascii="Arial" w:hAnsi="Arial" w:cs="Arial"/>
          <w:sz w:val="20"/>
          <w:szCs w:val="20"/>
        </w:rPr>
      </w:pPr>
      <w:r>
        <w:rPr>
          <w:rFonts w:ascii="Arial" w:hAnsi="Arial" w:cs="Arial"/>
          <w:sz w:val="20"/>
          <w:szCs w:val="20"/>
        </w:rPr>
        <w:t>Il conferimento di Dati alla Consip S.p.A.: l'eventuale rifiuto di fornire gli stessi comporta l'impossibilità di acquisire da parte nostra, le informazioni per una più compiuta conoscenza del mercato relativamente alla Vostra azienda.</w:t>
      </w:r>
    </w:p>
    <w:p w14:paraId="799154B1" w14:textId="77777777" w:rsidR="007067A0" w:rsidRDefault="007067A0">
      <w:pPr>
        <w:spacing w:line="276" w:lineRule="auto"/>
        <w:jc w:val="both"/>
        <w:rPr>
          <w:rFonts w:ascii="Arial" w:hAnsi="Arial" w:cs="Arial"/>
          <w:sz w:val="20"/>
          <w:szCs w:val="20"/>
        </w:rPr>
      </w:pPr>
    </w:p>
    <w:p w14:paraId="799154B2" w14:textId="77777777" w:rsidR="007067A0" w:rsidRDefault="00A337D9">
      <w:pPr>
        <w:spacing w:line="276" w:lineRule="auto"/>
        <w:jc w:val="both"/>
        <w:rPr>
          <w:rFonts w:ascii="Arial" w:hAnsi="Arial" w:cs="Arial"/>
          <w:sz w:val="20"/>
          <w:szCs w:val="20"/>
        </w:rPr>
      </w:pPr>
      <w:r>
        <w:rPr>
          <w:rFonts w:ascii="Arial" w:hAnsi="Arial" w:cs="Arial"/>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799154B3" w14:textId="77777777" w:rsidR="007067A0" w:rsidRDefault="007067A0">
      <w:pPr>
        <w:spacing w:line="276" w:lineRule="auto"/>
        <w:jc w:val="both"/>
        <w:rPr>
          <w:rFonts w:ascii="Arial" w:hAnsi="Arial" w:cs="Arial"/>
          <w:sz w:val="20"/>
          <w:szCs w:val="20"/>
        </w:rPr>
      </w:pPr>
    </w:p>
    <w:p w14:paraId="799154B4" w14:textId="77777777" w:rsidR="007067A0" w:rsidRDefault="00A337D9">
      <w:pPr>
        <w:spacing w:line="276" w:lineRule="auto"/>
        <w:jc w:val="both"/>
        <w:rPr>
          <w:rFonts w:ascii="Arial" w:hAnsi="Arial" w:cs="Arial"/>
          <w:sz w:val="20"/>
          <w:szCs w:val="20"/>
        </w:rPr>
      </w:pPr>
      <w:r>
        <w:rPr>
          <w:rFonts w:ascii="Arial" w:hAnsi="Arial" w:cs="Arial"/>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iii) il diritto di chiedere, e nel caso ottenere, la rettifica e, ove possibile, la cancellazione o, ancora, la limitazione del trattamento e, infine, può opporsi, per motivi legittimi, al loro trattamento; iv) il diritto alla portabilità dei dati che sarà applicabile nei limiti di cui all’art. 20 del regolamento UE. </w:t>
      </w:r>
    </w:p>
    <w:p w14:paraId="799154B5" w14:textId="77777777" w:rsidR="007067A0" w:rsidRDefault="00A337D9">
      <w:pPr>
        <w:spacing w:line="276" w:lineRule="auto"/>
        <w:jc w:val="both"/>
        <w:rPr>
          <w:rFonts w:ascii="Arial" w:hAnsi="Arial" w:cs="Arial"/>
          <w:sz w:val="20"/>
          <w:szCs w:val="20"/>
        </w:rPr>
      </w:pPr>
      <w:r>
        <w:rPr>
          <w:rFonts w:ascii="Arial" w:hAnsi="Arial" w:cs="Arial"/>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799154B6" w14:textId="77777777" w:rsidR="007067A0" w:rsidRDefault="00A337D9">
      <w:pPr>
        <w:spacing w:line="276" w:lineRule="auto"/>
        <w:jc w:val="both"/>
        <w:rPr>
          <w:rFonts w:ascii="Arial" w:hAnsi="Arial" w:cs="Arial"/>
          <w:sz w:val="20"/>
          <w:szCs w:val="20"/>
        </w:rPr>
      </w:pPr>
      <w:r>
        <w:rPr>
          <w:rFonts w:ascii="Arial" w:hAnsi="Arial" w:cs="Arial"/>
          <w:sz w:val="20"/>
          <w:szCs w:val="20"/>
        </w:rPr>
        <w:lastRenderedPageBreak/>
        <w:t>L’invio a Consip S.p.A. del Documento di Consultazione del mercato implica il consenso al trattamento dei Dati personali forniti.</w:t>
      </w:r>
    </w:p>
    <w:p w14:paraId="799154B7" w14:textId="77777777" w:rsidR="007067A0" w:rsidRDefault="007067A0">
      <w:pPr>
        <w:spacing w:line="276" w:lineRule="auto"/>
        <w:jc w:val="both"/>
        <w:rPr>
          <w:rFonts w:ascii="Arial" w:hAnsi="Arial" w:cs="Arial"/>
          <w:sz w:val="20"/>
          <w:szCs w:val="20"/>
        </w:rPr>
      </w:pPr>
    </w:p>
    <w:p w14:paraId="799154B8" w14:textId="77777777" w:rsidR="007067A0" w:rsidRDefault="00A337D9">
      <w:pPr>
        <w:spacing w:line="276" w:lineRule="auto"/>
        <w:jc w:val="both"/>
        <w:rPr>
          <w:rFonts w:ascii="Arial" w:hAnsi="Arial" w:cs="Arial"/>
          <w:sz w:val="20"/>
          <w:szCs w:val="20"/>
        </w:rPr>
      </w:pPr>
      <w:r>
        <w:rPr>
          <w:rFonts w:ascii="Arial" w:hAnsi="Arial" w:cs="Arial"/>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esercizio.diritti.privacy@consip.it. </w:t>
      </w:r>
    </w:p>
    <w:p w14:paraId="799154B9" w14:textId="74DFE4A1" w:rsidR="00AF4363" w:rsidRDefault="00AF4363">
      <w:pPr>
        <w:suppressAutoHyphens w:val="0"/>
      </w:pPr>
      <w:r>
        <w:br w:type="page"/>
      </w:r>
    </w:p>
    <w:p w14:paraId="4C52D884" w14:textId="77777777" w:rsidR="007067A0" w:rsidRDefault="007067A0" w:rsidP="00AF4363"/>
    <w:p w14:paraId="799154BA" w14:textId="77777777" w:rsidR="007067A0" w:rsidRDefault="00A337D9">
      <w:pPr>
        <w:pStyle w:val="Titolo1"/>
      </w:pPr>
      <w:r>
        <w:t>Contesto dell’iniziativa</w:t>
      </w:r>
    </w:p>
    <w:p w14:paraId="799154BB" w14:textId="77777777" w:rsidR="007067A0" w:rsidRDefault="00A337D9">
      <w:pPr>
        <w:pStyle w:val="NormaleWeb"/>
        <w:spacing w:before="0" w:after="0" w:line="360" w:lineRule="auto"/>
        <w:jc w:val="both"/>
        <w:rPr>
          <w:rFonts w:ascii="Arial" w:hAnsi="Arial" w:cs="Arial"/>
          <w:sz w:val="20"/>
          <w:szCs w:val="20"/>
        </w:rPr>
      </w:pPr>
      <w:r>
        <w:rPr>
          <w:rFonts w:ascii="Arial" w:hAnsi="Arial" w:cs="Arial"/>
          <w:sz w:val="20"/>
          <w:szCs w:val="20"/>
        </w:rPr>
        <w:t>La Direzione I – Analisi e Ricerca Economico-Finanziaria (Dipartimento del Tesoro, MEF), è l’unità responsabile di un ampio spettro di attività di supporto tecnico alla politica economica nazionale. Le sue funzioni chiave includono:</w:t>
      </w:r>
    </w:p>
    <w:p w14:paraId="799154BC" w14:textId="1C23842A" w:rsidR="007067A0" w:rsidRDefault="002F070C">
      <w:pPr>
        <w:pStyle w:val="NormaleWeb"/>
        <w:numPr>
          <w:ilvl w:val="0"/>
          <w:numId w:val="3"/>
        </w:numPr>
        <w:spacing w:before="120" w:after="120" w:line="360" w:lineRule="auto"/>
        <w:jc w:val="both"/>
      </w:pPr>
      <w:r>
        <w:rPr>
          <w:rFonts w:ascii="Arial" w:hAnsi="Arial" w:cs="Arial"/>
          <w:sz w:val="20"/>
          <w:szCs w:val="20"/>
          <w:u w:val="single"/>
        </w:rPr>
        <w:t>p</w:t>
      </w:r>
      <w:r w:rsidR="00A337D9">
        <w:rPr>
          <w:rFonts w:ascii="Arial" w:hAnsi="Arial" w:cs="Arial"/>
          <w:sz w:val="20"/>
          <w:szCs w:val="20"/>
          <w:u w:val="single"/>
        </w:rPr>
        <w:t>revisioni macroeconomiche ufficiali e programmazione economico-finanziaria</w:t>
      </w:r>
      <w:r w:rsidR="00A337D9">
        <w:rPr>
          <w:rFonts w:ascii="Arial" w:hAnsi="Arial" w:cs="Arial"/>
          <w:sz w:val="20"/>
          <w:szCs w:val="20"/>
        </w:rPr>
        <w:t xml:space="preserve">: cura l’elaborazione e il coordinamento dei documenti programmatici (es. Documento di </w:t>
      </w:r>
      <w:r>
        <w:rPr>
          <w:rFonts w:ascii="Arial" w:hAnsi="Arial" w:cs="Arial"/>
          <w:sz w:val="20"/>
          <w:szCs w:val="20"/>
        </w:rPr>
        <w:t xml:space="preserve">Finanza Pubblica (DFP) e </w:t>
      </w:r>
      <w:r w:rsidRPr="002F070C">
        <w:rPr>
          <w:rFonts w:ascii="Arial" w:hAnsi="Arial" w:cs="Arial"/>
          <w:sz w:val="20"/>
          <w:szCs w:val="20"/>
        </w:rPr>
        <w:t xml:space="preserve">Documento Programmatico di </w:t>
      </w:r>
      <w:r>
        <w:rPr>
          <w:rFonts w:ascii="Arial" w:hAnsi="Arial" w:cs="Arial"/>
          <w:sz w:val="20"/>
          <w:szCs w:val="20"/>
        </w:rPr>
        <w:t>Finanza Pubblica</w:t>
      </w:r>
      <w:r w:rsidR="00A337D9">
        <w:rPr>
          <w:rFonts w:ascii="Arial" w:hAnsi="Arial" w:cs="Arial"/>
          <w:sz w:val="20"/>
          <w:szCs w:val="20"/>
        </w:rPr>
        <w:t>) e la definizione degli scenari macroeconomici tendenziali e programmatici del Governo. Ciò include la predisposizione del Programma di Stabilità inviato all’UE e la collaborazione con l’Ufficio Parlamentare di Bilancio (UPB) per la validazione indipendente delle previsioni;</w:t>
      </w:r>
    </w:p>
    <w:p w14:paraId="799154BD" w14:textId="77777777" w:rsidR="007067A0" w:rsidRDefault="00A337D9">
      <w:pPr>
        <w:pStyle w:val="NormaleWeb"/>
        <w:numPr>
          <w:ilvl w:val="0"/>
          <w:numId w:val="3"/>
        </w:numPr>
        <w:spacing w:before="120" w:after="120" w:line="360" w:lineRule="auto"/>
        <w:jc w:val="both"/>
      </w:pPr>
      <w:r>
        <w:rPr>
          <w:rFonts w:ascii="Arial" w:hAnsi="Arial" w:cs="Arial"/>
          <w:sz w:val="20"/>
          <w:szCs w:val="20"/>
          <w:u w:val="single"/>
        </w:rPr>
        <w:t>analisi congiunturale e strutturale dell’economia interna e internazionale</w:t>
      </w:r>
      <w:r>
        <w:rPr>
          <w:rFonts w:ascii="Arial" w:hAnsi="Arial" w:cs="Arial"/>
          <w:sz w:val="20"/>
          <w:szCs w:val="20"/>
        </w:rPr>
        <w:t>: conduce ricerche e analisi sull’andamento ciclico dell’economia italiana e mondiale, sui mercati monetari e finanziari, e sulle tendenze di medio-lungo periodo (crescita, produttività, competitività, ecc.). Produce rapporti periodici sull’evoluzione congiunturale, note e studi settoriali, e monitora indicatori come occupazione, inflazione, commercio estero, credito, fiducia di imprese e famiglie;</w:t>
      </w:r>
    </w:p>
    <w:p w14:paraId="799154BE" w14:textId="77777777" w:rsidR="007067A0" w:rsidRDefault="00A337D9">
      <w:pPr>
        <w:pStyle w:val="NormaleWeb"/>
        <w:numPr>
          <w:ilvl w:val="0"/>
          <w:numId w:val="3"/>
        </w:numPr>
        <w:spacing w:before="120" w:after="120" w:line="360" w:lineRule="auto"/>
        <w:jc w:val="both"/>
      </w:pPr>
      <w:r>
        <w:rPr>
          <w:rFonts w:ascii="Arial" w:hAnsi="Arial" w:cs="Arial"/>
          <w:sz w:val="20"/>
          <w:szCs w:val="20"/>
          <w:u w:val="single"/>
        </w:rPr>
        <w:t>produzione di stime e previsioni di breve, medio e lungo termine dell’andamento dell’economia italiana</w:t>
      </w:r>
      <w:r>
        <w:rPr>
          <w:rFonts w:ascii="Arial" w:hAnsi="Arial" w:cs="Arial"/>
          <w:sz w:val="20"/>
          <w:szCs w:val="20"/>
        </w:rPr>
        <w:t xml:space="preserve"> che vengono utilizzate per la definizione degli scenari macroeconomici e di policy contenuti nei Documenti Programmatici del Governo italiano. Per produrre tali scenari si utilizzano modelli statistici ed econometrici e analisi congiunturali basati su serie storiche economiche e finanziarie, disponibili attraverso l’utilizzo di un set di banche dati opportunamente selezionato. Questo implica aggiornare costantemente i modelli usati per produrre le stime ufficiali di crescita e finanza pubblica, e condurre simulazioni di scenario o di riforme con strumenti modellistici avanzati;</w:t>
      </w:r>
    </w:p>
    <w:p w14:paraId="799154BF" w14:textId="29813D04" w:rsidR="007067A0" w:rsidRDefault="00A337D9">
      <w:pPr>
        <w:pStyle w:val="NormaleWeb"/>
        <w:numPr>
          <w:ilvl w:val="0"/>
          <w:numId w:val="3"/>
        </w:numPr>
        <w:spacing w:before="120" w:after="120" w:line="360" w:lineRule="auto"/>
        <w:ind w:left="714" w:hanging="357"/>
        <w:jc w:val="both"/>
      </w:pPr>
      <w:r>
        <w:rPr>
          <w:rFonts w:ascii="Arial" w:hAnsi="Arial" w:cs="Arial"/>
          <w:sz w:val="20"/>
          <w:szCs w:val="20"/>
          <w:u w:val="single"/>
        </w:rPr>
        <w:t>valutazioni delle politiche economiche e delle riforme strutturali</w:t>
      </w:r>
      <w:r>
        <w:rPr>
          <w:rFonts w:ascii="Arial" w:hAnsi="Arial" w:cs="Arial"/>
          <w:sz w:val="20"/>
          <w:szCs w:val="20"/>
        </w:rPr>
        <w:t>: analizza l’impatto di misure di politica fiscale, riforme del mercato del lavoro, riforme strutturali ed efficienza della pubblica amministrazione. Coordina la preparazione de</w:t>
      </w:r>
      <w:r w:rsidR="002F070C">
        <w:rPr>
          <w:rFonts w:ascii="Arial" w:hAnsi="Arial" w:cs="Arial"/>
          <w:sz w:val="20"/>
          <w:szCs w:val="20"/>
        </w:rPr>
        <w:t>i</w:t>
      </w:r>
      <w:r>
        <w:rPr>
          <w:rFonts w:ascii="Arial" w:hAnsi="Arial" w:cs="Arial"/>
          <w:sz w:val="20"/>
          <w:szCs w:val="20"/>
        </w:rPr>
        <w:t xml:space="preserve"> Programm</w:t>
      </w:r>
      <w:r w:rsidR="002F070C">
        <w:rPr>
          <w:rFonts w:ascii="Arial" w:hAnsi="Arial" w:cs="Arial"/>
          <w:sz w:val="20"/>
          <w:szCs w:val="20"/>
        </w:rPr>
        <w:t>i</w:t>
      </w:r>
      <w:r>
        <w:rPr>
          <w:rFonts w:ascii="Arial" w:hAnsi="Arial" w:cs="Arial"/>
          <w:sz w:val="20"/>
          <w:szCs w:val="20"/>
        </w:rPr>
        <w:t xml:space="preserve"> Nazional</w:t>
      </w:r>
      <w:r w:rsidR="002F070C">
        <w:rPr>
          <w:rFonts w:ascii="Arial" w:hAnsi="Arial" w:cs="Arial"/>
          <w:sz w:val="20"/>
          <w:szCs w:val="20"/>
        </w:rPr>
        <w:t>i</w:t>
      </w:r>
      <w:r>
        <w:rPr>
          <w:rFonts w:ascii="Arial" w:hAnsi="Arial" w:cs="Arial"/>
          <w:sz w:val="20"/>
          <w:szCs w:val="20"/>
        </w:rPr>
        <w:t xml:space="preserve"> di Riforma, interfacciandosi con le altre Amministrazioni. Inoltre, la Direzione gestisce per l’Italia la procedura europea sugli squilibri macroeconomici (</w:t>
      </w:r>
      <w:proofErr w:type="spellStart"/>
      <w:r>
        <w:rPr>
          <w:rFonts w:ascii="Arial" w:hAnsi="Arial" w:cs="Arial"/>
          <w:sz w:val="20"/>
          <w:szCs w:val="20"/>
        </w:rPr>
        <w:t>Macroeconomic</w:t>
      </w:r>
      <w:proofErr w:type="spellEnd"/>
      <w:r>
        <w:rPr>
          <w:rFonts w:ascii="Arial" w:hAnsi="Arial" w:cs="Arial"/>
          <w:sz w:val="20"/>
          <w:szCs w:val="20"/>
        </w:rPr>
        <w:t xml:space="preserve"> </w:t>
      </w:r>
      <w:proofErr w:type="spellStart"/>
      <w:r>
        <w:rPr>
          <w:rFonts w:ascii="Arial" w:hAnsi="Arial" w:cs="Arial"/>
          <w:sz w:val="20"/>
          <w:szCs w:val="20"/>
        </w:rPr>
        <w:t>Imbalance</w:t>
      </w:r>
      <w:proofErr w:type="spellEnd"/>
      <w:r>
        <w:rPr>
          <w:rFonts w:ascii="Arial" w:hAnsi="Arial" w:cs="Arial"/>
          <w:sz w:val="20"/>
          <w:szCs w:val="20"/>
        </w:rPr>
        <w:t xml:space="preserve"> Procedure – MIP), monitorando gli indicatori di allerta UE;</w:t>
      </w:r>
    </w:p>
    <w:p w14:paraId="799154C0" w14:textId="173783C9" w:rsidR="007067A0" w:rsidRDefault="00A337D9">
      <w:pPr>
        <w:pStyle w:val="NormaleWeb"/>
        <w:numPr>
          <w:ilvl w:val="0"/>
          <w:numId w:val="3"/>
        </w:numPr>
        <w:spacing w:before="120" w:after="120" w:line="360" w:lineRule="auto"/>
        <w:ind w:left="714" w:hanging="357"/>
        <w:jc w:val="both"/>
      </w:pPr>
      <w:r>
        <w:rPr>
          <w:rFonts w:ascii="Arial" w:hAnsi="Arial" w:cs="Arial"/>
          <w:sz w:val="20"/>
          <w:szCs w:val="20"/>
          <w:u w:val="single"/>
        </w:rPr>
        <w:t>analisi della finanza pubblica e governance fiscale</w:t>
      </w:r>
      <w:r>
        <w:rPr>
          <w:rFonts w:ascii="Arial" w:hAnsi="Arial" w:cs="Arial"/>
          <w:sz w:val="20"/>
          <w:szCs w:val="20"/>
        </w:rPr>
        <w:t xml:space="preserve">: svolge analisi economiche sull’andamento dei conti pubblici e sulle dinamiche di debito e deficit, fornendo supporto </w:t>
      </w:r>
      <w:r>
        <w:rPr>
          <w:rFonts w:ascii="Arial" w:hAnsi="Arial" w:cs="Arial"/>
          <w:sz w:val="20"/>
          <w:szCs w:val="20"/>
        </w:rPr>
        <w:lastRenderedPageBreak/>
        <w:t>nella valutazione della sostenibilità fiscale di medio-lungo termine</w:t>
      </w:r>
      <w:r w:rsidR="002F070C">
        <w:rPr>
          <w:rFonts w:ascii="Arial" w:hAnsi="Arial" w:cs="Arial"/>
          <w:sz w:val="20"/>
          <w:szCs w:val="20"/>
        </w:rPr>
        <w:t xml:space="preserve"> (DSA)</w:t>
      </w:r>
      <w:r>
        <w:rPr>
          <w:rFonts w:ascii="Arial" w:hAnsi="Arial" w:cs="Arial"/>
          <w:sz w:val="20"/>
          <w:szCs w:val="20"/>
        </w:rPr>
        <w:t>. Predispone, ad esempio, il Rapporto sui fattori rilevanti del debito pubblico e analisi di sensitività del debito a vari scenari macro;</w:t>
      </w:r>
    </w:p>
    <w:p w14:paraId="799154C1" w14:textId="49CA4D2F" w:rsidR="007067A0" w:rsidRDefault="00A337D9">
      <w:pPr>
        <w:pStyle w:val="NormaleWeb"/>
        <w:numPr>
          <w:ilvl w:val="0"/>
          <w:numId w:val="3"/>
        </w:numPr>
        <w:spacing w:before="120" w:after="120" w:line="360" w:lineRule="auto"/>
        <w:ind w:left="714" w:hanging="357"/>
        <w:jc w:val="both"/>
      </w:pPr>
      <w:r>
        <w:rPr>
          <w:rFonts w:ascii="Arial" w:hAnsi="Arial" w:cs="Arial"/>
          <w:sz w:val="20"/>
          <w:szCs w:val="20"/>
          <w:u w:val="single"/>
        </w:rPr>
        <w:t>relazioni europee e internazionali:</w:t>
      </w:r>
      <w:r>
        <w:rPr>
          <w:rFonts w:ascii="Arial" w:hAnsi="Arial" w:cs="Arial"/>
          <w:sz w:val="20"/>
          <w:szCs w:val="20"/>
        </w:rPr>
        <w:t xml:space="preserve"> rappresenta il Tesoro in gruppi di lavoro tecnici dell’UE (es. LIME Working Group per le riforme, </w:t>
      </w:r>
      <w:proofErr w:type="spellStart"/>
      <w:r w:rsidR="002F070C">
        <w:rPr>
          <w:rFonts w:ascii="Arial" w:hAnsi="Arial" w:cs="Arial"/>
          <w:sz w:val="20"/>
          <w:szCs w:val="20"/>
        </w:rPr>
        <w:t>Potential</w:t>
      </w:r>
      <w:proofErr w:type="spellEnd"/>
      <w:r w:rsidR="002F070C">
        <w:rPr>
          <w:rFonts w:ascii="Arial" w:hAnsi="Arial" w:cs="Arial"/>
          <w:sz w:val="20"/>
          <w:szCs w:val="20"/>
        </w:rPr>
        <w:t xml:space="preserve"> Output</w:t>
      </w:r>
      <w:r>
        <w:rPr>
          <w:rFonts w:ascii="Arial" w:hAnsi="Arial" w:cs="Arial"/>
          <w:sz w:val="20"/>
          <w:szCs w:val="20"/>
        </w:rPr>
        <w:t xml:space="preserve"> Working Group, </w:t>
      </w:r>
      <w:proofErr w:type="spellStart"/>
      <w:r>
        <w:rPr>
          <w:rFonts w:ascii="Arial" w:hAnsi="Arial" w:cs="Arial"/>
          <w:sz w:val="20"/>
          <w:szCs w:val="20"/>
        </w:rPr>
        <w:t>Ageing</w:t>
      </w:r>
      <w:proofErr w:type="spellEnd"/>
      <w:r>
        <w:rPr>
          <w:rFonts w:ascii="Arial" w:hAnsi="Arial" w:cs="Arial"/>
          <w:sz w:val="20"/>
          <w:szCs w:val="20"/>
        </w:rPr>
        <w:t xml:space="preserve"> Working Group) e di organizzazioni come OCSE, G7, G20, FMI e Banca Mondiale. La Direzione contribuisce così al processo di formulazione delle politiche economiche internazionali, portando l’analisi italiana nei consessi esteri, e recepisce standard e metodologie internazionali (es. calcolo dell’output gap concordato a livello UE)</w:t>
      </w:r>
    </w:p>
    <w:p w14:paraId="799154C2" w14:textId="77777777" w:rsidR="007067A0" w:rsidRDefault="00A337D9">
      <w:pPr>
        <w:pStyle w:val="NormaleWeb"/>
        <w:spacing w:before="0" w:after="0" w:line="360" w:lineRule="auto"/>
        <w:ind w:left="357"/>
        <w:jc w:val="both"/>
        <w:rPr>
          <w:rFonts w:ascii="Arial" w:hAnsi="Arial" w:cs="Arial"/>
          <w:sz w:val="20"/>
          <w:szCs w:val="20"/>
        </w:rPr>
      </w:pPr>
      <w:r>
        <w:rPr>
          <w:rFonts w:ascii="Arial" w:hAnsi="Arial" w:cs="Arial"/>
          <w:sz w:val="20"/>
          <w:szCs w:val="20"/>
        </w:rPr>
        <w:t>Per svolgere i compiti di previsione macroeconomica e valutazione delle politiche, la Direzione si avvale di una suite di modelli economici avanzati, sviluppati internamente (spesso con il supporto tecnico di Sogei e collaborazioni accademiche) o adottati in contesti internazionali. Questi modelli, sia di breve termine sia strutturali, permettono di costruire scenari economici coerenti e di stimare l’impatto di misure di policy. Ecco i principali modelli utilizzati:</w:t>
      </w:r>
    </w:p>
    <w:p w14:paraId="799154C3" w14:textId="77777777" w:rsidR="007067A0" w:rsidRDefault="00A337D9">
      <w:pPr>
        <w:pStyle w:val="NormaleWeb"/>
        <w:numPr>
          <w:ilvl w:val="0"/>
          <w:numId w:val="3"/>
        </w:numPr>
        <w:spacing w:before="120" w:after="0" w:line="360" w:lineRule="auto"/>
        <w:ind w:left="714" w:hanging="357"/>
        <w:jc w:val="both"/>
      </w:pPr>
      <w:r>
        <w:rPr>
          <w:rFonts w:ascii="Arial" w:hAnsi="Arial" w:cs="Arial"/>
          <w:sz w:val="20"/>
          <w:szCs w:val="20"/>
          <w:u w:val="single"/>
        </w:rPr>
        <w:t>Modello ITEM (</w:t>
      </w:r>
      <w:proofErr w:type="spellStart"/>
      <w:r>
        <w:rPr>
          <w:rFonts w:ascii="Arial" w:hAnsi="Arial" w:cs="Arial"/>
          <w:sz w:val="20"/>
          <w:szCs w:val="20"/>
          <w:u w:val="single"/>
        </w:rPr>
        <w:t>Italian</w:t>
      </w:r>
      <w:proofErr w:type="spellEnd"/>
      <w:r>
        <w:rPr>
          <w:rFonts w:ascii="Arial" w:hAnsi="Arial" w:cs="Arial"/>
          <w:sz w:val="20"/>
          <w:szCs w:val="20"/>
          <w:u w:val="single"/>
        </w:rPr>
        <w:t xml:space="preserve"> Treasury </w:t>
      </w:r>
      <w:proofErr w:type="spellStart"/>
      <w:r>
        <w:rPr>
          <w:rFonts w:ascii="Arial" w:hAnsi="Arial" w:cs="Arial"/>
          <w:sz w:val="20"/>
          <w:szCs w:val="20"/>
          <w:u w:val="single"/>
        </w:rPr>
        <w:t>Econometric</w:t>
      </w:r>
      <w:proofErr w:type="spellEnd"/>
      <w:r>
        <w:rPr>
          <w:rFonts w:ascii="Arial" w:hAnsi="Arial" w:cs="Arial"/>
          <w:sz w:val="20"/>
          <w:szCs w:val="20"/>
          <w:u w:val="single"/>
        </w:rPr>
        <w:t xml:space="preserve"> Model):</w:t>
      </w:r>
      <w:r>
        <w:rPr>
          <w:rFonts w:ascii="Arial" w:hAnsi="Arial" w:cs="Arial"/>
          <w:sz w:val="20"/>
          <w:szCs w:val="20"/>
        </w:rPr>
        <w:t xml:space="preserve"> è il modello econometrico macroeconomico di medio termine del MEF, dedicato all’economia italiana. Si tratta di un modello a grandezza medio-grande (circa 371 variabili di cui 247 endogene, con 36 equazioni comportamentali e 211 identità) che descrive in modo dettagliato i principali aggregati macro (domanda interna, offerta/produttività, mercato del lavoro, prezzi, conti con l’estero). ITEM viene utilizzato sia a fini previsivi – elabora proiezioni tendenziali a medio termine (tipicamente su un orizzonte di 3-5 anni) assumendo uno scenario internazionale – sia per simulazioni di politica economica, valutando gli effetti di interventi fiscali o shock esogeni sull’economia;</w:t>
      </w:r>
    </w:p>
    <w:p w14:paraId="799154C4" w14:textId="77777777" w:rsidR="007067A0" w:rsidRDefault="00A337D9">
      <w:pPr>
        <w:pStyle w:val="NormaleWeb"/>
        <w:numPr>
          <w:ilvl w:val="0"/>
          <w:numId w:val="3"/>
        </w:numPr>
        <w:spacing w:before="120" w:after="0" w:line="360" w:lineRule="auto"/>
        <w:ind w:left="714" w:hanging="357"/>
        <w:jc w:val="both"/>
      </w:pPr>
      <w:r>
        <w:rPr>
          <w:rFonts w:ascii="Arial" w:hAnsi="Arial" w:cs="Arial"/>
          <w:sz w:val="20"/>
          <w:szCs w:val="20"/>
          <w:u w:val="single"/>
        </w:rPr>
        <w:t>Modelli di previsione a breve termine (Nowcasting e modelli “bridge”)</w:t>
      </w:r>
      <w:r>
        <w:rPr>
          <w:rFonts w:ascii="Arial" w:hAnsi="Arial" w:cs="Arial"/>
          <w:sz w:val="20"/>
          <w:szCs w:val="20"/>
        </w:rPr>
        <w:t>: per le stime congiunturali e il breve periodo, la Direzione utilizza modelli statistici a frequenza mensile/trimestrale che permettono di “ora-prevedere” l’andamento del PIL nell’anno corrente e quello immediatamente successivo. Tra questi modelli figurano il TBM (Treasury Bridge Model), il TRILL (</w:t>
      </w:r>
      <w:proofErr w:type="spellStart"/>
      <w:r>
        <w:rPr>
          <w:rFonts w:ascii="Arial" w:hAnsi="Arial" w:cs="Arial"/>
          <w:sz w:val="20"/>
          <w:szCs w:val="20"/>
        </w:rPr>
        <w:t>TReasury</w:t>
      </w:r>
      <w:proofErr w:type="spellEnd"/>
      <w:r>
        <w:rPr>
          <w:rFonts w:ascii="Arial" w:hAnsi="Arial" w:cs="Arial"/>
          <w:sz w:val="20"/>
          <w:szCs w:val="20"/>
        </w:rPr>
        <w:t xml:space="preserve"> </w:t>
      </w:r>
      <w:proofErr w:type="spellStart"/>
      <w:r>
        <w:rPr>
          <w:rFonts w:ascii="Arial" w:hAnsi="Arial" w:cs="Arial"/>
          <w:sz w:val="20"/>
          <w:szCs w:val="20"/>
        </w:rPr>
        <w:t>ItaLian</w:t>
      </w:r>
      <w:proofErr w:type="spellEnd"/>
      <w:r>
        <w:rPr>
          <w:rFonts w:ascii="Arial" w:hAnsi="Arial" w:cs="Arial"/>
          <w:sz w:val="20"/>
          <w:szCs w:val="20"/>
        </w:rPr>
        <w:t xml:space="preserve"> Leading </w:t>
      </w:r>
      <w:proofErr w:type="spellStart"/>
      <w:r>
        <w:rPr>
          <w:rFonts w:ascii="Arial" w:hAnsi="Arial" w:cs="Arial"/>
          <w:sz w:val="20"/>
          <w:szCs w:val="20"/>
        </w:rPr>
        <w:t>Indicator</w:t>
      </w:r>
      <w:proofErr w:type="spellEnd"/>
      <w:r>
        <w:rPr>
          <w:rFonts w:ascii="Arial" w:hAnsi="Arial" w:cs="Arial"/>
          <w:sz w:val="20"/>
          <w:szCs w:val="20"/>
        </w:rPr>
        <w:t>) e il modello ALL41. Questi modelli combinano indicatori ad alta frequenza (produzione industriale, fiducia, ordini, etc.) per aggiornare rapidamente le stime trimestrali di PIL via via che nuovi dati diventano disponibili;</w:t>
      </w:r>
    </w:p>
    <w:p w14:paraId="799154C5" w14:textId="77777777" w:rsidR="007067A0" w:rsidRDefault="00A337D9">
      <w:pPr>
        <w:pStyle w:val="NormaleWeb"/>
        <w:numPr>
          <w:ilvl w:val="0"/>
          <w:numId w:val="3"/>
        </w:numPr>
        <w:spacing w:before="120" w:after="0" w:line="360" w:lineRule="auto"/>
        <w:ind w:left="714" w:hanging="357"/>
        <w:jc w:val="both"/>
      </w:pPr>
      <w:r>
        <w:rPr>
          <w:rFonts w:ascii="Arial" w:hAnsi="Arial" w:cs="Arial"/>
          <w:sz w:val="20"/>
          <w:szCs w:val="20"/>
          <w:u w:val="single"/>
        </w:rPr>
        <w:t>Modello di breve-medio termine JBM (</w:t>
      </w:r>
      <w:proofErr w:type="spellStart"/>
      <w:r>
        <w:rPr>
          <w:rFonts w:ascii="Arial" w:hAnsi="Arial" w:cs="Arial"/>
          <w:sz w:val="20"/>
          <w:szCs w:val="20"/>
          <w:u w:val="single"/>
        </w:rPr>
        <w:t>Judgment-Based</w:t>
      </w:r>
      <w:proofErr w:type="spellEnd"/>
      <w:r>
        <w:rPr>
          <w:rFonts w:ascii="Arial" w:hAnsi="Arial" w:cs="Arial"/>
          <w:sz w:val="20"/>
          <w:szCs w:val="20"/>
          <w:u w:val="single"/>
        </w:rPr>
        <w:t xml:space="preserve"> Model)</w:t>
      </w:r>
      <w:r>
        <w:rPr>
          <w:rFonts w:ascii="Arial" w:hAnsi="Arial" w:cs="Arial"/>
          <w:sz w:val="20"/>
          <w:szCs w:val="20"/>
        </w:rPr>
        <w:t xml:space="preserve">: è un modello interno che combina approccio quantitativo ed expertise qualitativa. In pratica, il JBM integra i risultati </w:t>
      </w:r>
      <w:r>
        <w:rPr>
          <w:rFonts w:ascii="Arial" w:hAnsi="Arial" w:cs="Arial"/>
          <w:sz w:val="20"/>
          <w:szCs w:val="20"/>
        </w:rPr>
        <w:lastRenderedPageBreak/>
        <w:t>di vari modelli statistici con il giudizio degli economisti, utilizzando i dati ISTAT sui conti trimestrali come base. Il JBM è utilizzato operativamente per costruire le previsioni ufficiali a breve termine (es. crescita trimestrale per l’anno in corso e il successivo), alimentando sia i documenti programmatici sia un monitoraggio interno frequente;</w:t>
      </w:r>
    </w:p>
    <w:p w14:paraId="799154C6" w14:textId="77777777" w:rsidR="007067A0" w:rsidRDefault="00A337D9">
      <w:pPr>
        <w:pStyle w:val="NormaleWeb"/>
        <w:spacing w:before="120" w:after="0" w:line="360" w:lineRule="auto"/>
        <w:ind w:left="357"/>
        <w:jc w:val="both"/>
        <w:rPr>
          <w:rFonts w:ascii="Arial" w:hAnsi="Arial" w:cs="Arial"/>
          <w:sz w:val="20"/>
          <w:szCs w:val="20"/>
        </w:rPr>
      </w:pPr>
      <w:r>
        <w:rPr>
          <w:rFonts w:ascii="Arial" w:hAnsi="Arial" w:cs="Arial"/>
          <w:sz w:val="20"/>
          <w:szCs w:val="20"/>
        </w:rPr>
        <w:t>Oltre ai modelli sopra descritti, la Direzione utilizza una serie di strumenti specializzati per aree specifiche:</w:t>
      </w:r>
    </w:p>
    <w:p w14:paraId="799154C7" w14:textId="7E9F0446" w:rsidR="007067A0" w:rsidRDefault="00A337D9">
      <w:pPr>
        <w:pStyle w:val="NormaleWeb"/>
        <w:numPr>
          <w:ilvl w:val="0"/>
          <w:numId w:val="3"/>
        </w:numPr>
        <w:spacing w:before="120" w:after="0" w:line="360" w:lineRule="auto"/>
        <w:jc w:val="both"/>
      </w:pPr>
      <w:r>
        <w:rPr>
          <w:rFonts w:ascii="Arial" w:hAnsi="Arial" w:cs="Arial"/>
          <w:sz w:val="20"/>
          <w:szCs w:val="20"/>
          <w:u w:val="single"/>
        </w:rPr>
        <w:t>analisi di sostenibilità del debito pubblico</w:t>
      </w:r>
      <w:r w:rsidR="002F070C">
        <w:rPr>
          <w:rFonts w:ascii="Arial" w:hAnsi="Arial" w:cs="Arial"/>
          <w:sz w:val="20"/>
          <w:szCs w:val="20"/>
          <w:u w:val="single"/>
        </w:rPr>
        <w:t xml:space="preserve"> (DSA)</w:t>
      </w:r>
      <w:r>
        <w:rPr>
          <w:rFonts w:ascii="Arial" w:hAnsi="Arial" w:cs="Arial"/>
          <w:sz w:val="20"/>
          <w:szCs w:val="20"/>
        </w:rPr>
        <w:t>: viene condotta con modelli e indicatori volti a valutare, nel breve, medio e lungo termine, la dinamica del debito in rapporto a PIL, costo medio del debito, crescita e altre variabili</w:t>
      </w:r>
      <w:r w:rsidR="002F070C">
        <w:rPr>
          <w:rFonts w:ascii="Arial" w:hAnsi="Arial" w:cs="Arial"/>
          <w:sz w:val="20"/>
          <w:szCs w:val="20"/>
        </w:rPr>
        <w:t xml:space="preserve"> economico-finanziarie</w:t>
      </w:r>
      <w:r>
        <w:rPr>
          <w:rFonts w:ascii="Arial" w:hAnsi="Arial" w:cs="Arial"/>
          <w:sz w:val="20"/>
          <w:szCs w:val="20"/>
        </w:rPr>
        <w:t>;</w:t>
      </w:r>
    </w:p>
    <w:p w14:paraId="799154C8" w14:textId="77777777" w:rsidR="007067A0" w:rsidRDefault="00A337D9">
      <w:pPr>
        <w:pStyle w:val="NormaleWeb"/>
        <w:numPr>
          <w:ilvl w:val="0"/>
          <w:numId w:val="3"/>
        </w:numPr>
        <w:spacing w:before="120" w:after="0" w:line="360" w:lineRule="auto"/>
        <w:jc w:val="both"/>
      </w:pPr>
      <w:r>
        <w:rPr>
          <w:rFonts w:ascii="Arial" w:hAnsi="Arial" w:cs="Arial"/>
          <w:sz w:val="20"/>
          <w:szCs w:val="20"/>
          <w:u w:val="single"/>
        </w:rPr>
        <w:t xml:space="preserve">modelli di </w:t>
      </w:r>
      <w:proofErr w:type="spellStart"/>
      <w:r>
        <w:rPr>
          <w:rFonts w:ascii="Arial" w:hAnsi="Arial" w:cs="Arial"/>
          <w:sz w:val="20"/>
          <w:szCs w:val="20"/>
          <w:u w:val="single"/>
        </w:rPr>
        <w:t>microsimulazione</w:t>
      </w:r>
      <w:proofErr w:type="spellEnd"/>
      <w:r>
        <w:rPr>
          <w:rFonts w:ascii="Arial" w:hAnsi="Arial" w:cs="Arial"/>
          <w:sz w:val="20"/>
          <w:szCs w:val="20"/>
          <w:u w:val="single"/>
        </w:rPr>
        <w:t xml:space="preserve"> dinamica:</w:t>
      </w:r>
      <w:r>
        <w:rPr>
          <w:rFonts w:ascii="Arial" w:hAnsi="Arial" w:cs="Arial"/>
          <w:sz w:val="20"/>
          <w:szCs w:val="20"/>
        </w:rPr>
        <w:t xml:space="preserve"> la Direzione I si avvale del Treasury Dynamic </w:t>
      </w:r>
      <w:proofErr w:type="spellStart"/>
      <w:r>
        <w:rPr>
          <w:rFonts w:ascii="Arial" w:hAnsi="Arial" w:cs="Arial"/>
          <w:sz w:val="20"/>
          <w:szCs w:val="20"/>
        </w:rPr>
        <w:t>Microsimulation</w:t>
      </w:r>
      <w:proofErr w:type="spellEnd"/>
      <w:r>
        <w:rPr>
          <w:rFonts w:ascii="Arial" w:hAnsi="Arial" w:cs="Arial"/>
          <w:sz w:val="20"/>
          <w:szCs w:val="20"/>
        </w:rPr>
        <w:t xml:space="preserve"> Model per proiezioni di lungo periodo sul sistema pensionistico italiano. T-DYMM utilizza microdati (dall’indagine EU-SILC e dati amministrativi INPS) per simulare l’evoluzione delle carriere lavorative e delle pensioni di individui in un orizzonte pluridecennale, stimando così l’adeguatezza futura delle pensioni, la distribuzione dei redditi da pensione e l’impatto di possibili riforme previdenziali. È uno strumento chiave per analisi di sostenibilità sociale e viene impiegato anche nei lavori del Comitato di Politica Economica UE;</w:t>
      </w:r>
    </w:p>
    <w:p w14:paraId="799154C9" w14:textId="061116B5" w:rsidR="007067A0" w:rsidRDefault="00A337D9">
      <w:pPr>
        <w:pStyle w:val="NormaleWeb"/>
        <w:numPr>
          <w:ilvl w:val="0"/>
          <w:numId w:val="3"/>
        </w:numPr>
        <w:spacing w:before="120" w:after="0" w:line="360" w:lineRule="auto"/>
        <w:jc w:val="both"/>
      </w:pPr>
      <w:r>
        <w:rPr>
          <w:rFonts w:ascii="Arial" w:hAnsi="Arial" w:cs="Arial"/>
          <w:sz w:val="20"/>
          <w:szCs w:val="20"/>
          <w:u w:val="single"/>
        </w:rPr>
        <w:t>analisi delle riforme strutturali</w:t>
      </w:r>
      <w:r>
        <w:rPr>
          <w:rFonts w:ascii="Arial" w:hAnsi="Arial" w:cs="Arial"/>
          <w:sz w:val="20"/>
          <w:szCs w:val="20"/>
        </w:rPr>
        <w:t xml:space="preserve">: pur non essendo un singolo modello, la Direzione conduce regolarmente valutazioni quantitative e qualitative sulle riforme (mercato prodotti, PA, giustizia, etc.), spesso usando modelli </w:t>
      </w:r>
      <w:r w:rsidR="002F070C">
        <w:rPr>
          <w:rFonts w:ascii="Arial" w:hAnsi="Arial" w:cs="Arial"/>
          <w:sz w:val="20"/>
          <w:szCs w:val="20"/>
        </w:rPr>
        <w:t xml:space="preserve">di equilibrio economico generale </w:t>
      </w:r>
      <w:r>
        <w:rPr>
          <w:rFonts w:ascii="Arial" w:hAnsi="Arial" w:cs="Arial"/>
          <w:sz w:val="20"/>
          <w:szCs w:val="20"/>
        </w:rPr>
        <w:t>(IGEM, QUEST, CGE) e partecipando a esercizi europei comparativi. Ad esempio, contribuisce al gruppo LIME (</w:t>
      </w:r>
      <w:proofErr w:type="spellStart"/>
      <w:r>
        <w:rPr>
          <w:rFonts w:ascii="Arial" w:hAnsi="Arial" w:cs="Arial"/>
          <w:sz w:val="20"/>
          <w:szCs w:val="20"/>
        </w:rPr>
        <w:t>Laboratoire</w:t>
      </w:r>
      <w:proofErr w:type="spellEnd"/>
      <w:r>
        <w:rPr>
          <w:rFonts w:ascii="Arial" w:hAnsi="Arial" w:cs="Arial"/>
          <w:sz w:val="20"/>
          <w:szCs w:val="20"/>
        </w:rPr>
        <w:t xml:space="preserve"> for </w:t>
      </w:r>
      <w:proofErr w:type="spellStart"/>
      <w:r>
        <w:rPr>
          <w:rFonts w:ascii="Arial" w:hAnsi="Arial" w:cs="Arial"/>
          <w:sz w:val="20"/>
          <w:szCs w:val="20"/>
        </w:rPr>
        <w:t>Integrated</w:t>
      </w:r>
      <w:proofErr w:type="spellEnd"/>
      <w:r>
        <w:rPr>
          <w:rFonts w:ascii="Arial" w:hAnsi="Arial" w:cs="Arial"/>
          <w:sz w:val="20"/>
          <w:szCs w:val="20"/>
        </w:rPr>
        <w:t xml:space="preserve"> Macro-Financial Analysis) fornendo simulazioni sugli effetti delle riforme nazionali.</w:t>
      </w:r>
    </w:p>
    <w:p w14:paraId="799154CA" w14:textId="77777777" w:rsidR="007067A0" w:rsidRDefault="00A337D9">
      <w:pPr>
        <w:pStyle w:val="NormaleWeb"/>
        <w:spacing w:before="120" w:after="0" w:line="360" w:lineRule="auto"/>
        <w:jc w:val="both"/>
        <w:rPr>
          <w:rFonts w:ascii="Arial" w:hAnsi="Arial" w:cs="Arial"/>
          <w:sz w:val="20"/>
          <w:szCs w:val="20"/>
        </w:rPr>
      </w:pPr>
      <w:r>
        <w:rPr>
          <w:rFonts w:ascii="Arial" w:hAnsi="Arial" w:cs="Arial"/>
          <w:sz w:val="20"/>
          <w:szCs w:val="20"/>
        </w:rPr>
        <w:t>Da quanto sopra emerge come la Direzione abbia sviluppato un ecosistema di modellistica diversificato, che spazia dai modelli congiunturali immediati ai modelli strutturali di simulazione a lungo termine. Questa varietà consente di incrociare le prospettive: le previsioni ufficiali beneficiano sia di strumenti basati sui dati più recenti (nowcasting) sia di modelli teorici consolidati (ITEM), assicurando sia reattività nel breve periodo sia coerenza macro nel medio. Allo stesso modo, le valutazioni di policy possono essere validate tramite più approcci (ad es. una riforma fiscale può essere analizzata con ITEM per l’effetto sul PIL e con un CGE per la ricaduta settoriale). Tutto ciò migliora la robustezza degli scenari preparati dal Tesoro e la credibilità delle analisi fornite a supporto del decisore pubblico.</w:t>
      </w:r>
    </w:p>
    <w:p w14:paraId="799154CB" w14:textId="77777777" w:rsidR="007067A0" w:rsidRDefault="00A337D9">
      <w:pPr>
        <w:pStyle w:val="NormaleWeb"/>
        <w:spacing w:before="120" w:after="0" w:line="360" w:lineRule="auto"/>
        <w:jc w:val="both"/>
        <w:rPr>
          <w:rFonts w:ascii="Arial" w:hAnsi="Arial" w:cs="Arial"/>
          <w:sz w:val="20"/>
          <w:szCs w:val="20"/>
        </w:rPr>
      </w:pPr>
      <w:r>
        <w:rPr>
          <w:rFonts w:ascii="Arial" w:hAnsi="Arial" w:cs="Arial"/>
          <w:sz w:val="20"/>
          <w:szCs w:val="20"/>
        </w:rPr>
        <w:t xml:space="preserve">Per alimentare i modelli e condurre analisi tempestive, la Direzione I fa largo uso di dati statistici ed economici provenienti da numerose fonti, sia istituzionali sia commerciali. L’accesso a banche </w:t>
      </w:r>
      <w:r>
        <w:rPr>
          <w:rFonts w:ascii="Arial" w:hAnsi="Arial" w:cs="Arial"/>
          <w:sz w:val="20"/>
          <w:szCs w:val="20"/>
        </w:rPr>
        <w:lastRenderedPageBreak/>
        <w:t>dati ricche e aggiornate è infatti cruciale per monitorare l’andamento congiunturale e costruire scenari informati. In particolare:</w:t>
      </w:r>
    </w:p>
    <w:p w14:paraId="799154CC" w14:textId="77777777" w:rsidR="007067A0" w:rsidRDefault="00A337D9">
      <w:pPr>
        <w:pStyle w:val="NormaleWeb"/>
        <w:numPr>
          <w:ilvl w:val="0"/>
          <w:numId w:val="3"/>
        </w:numPr>
        <w:spacing w:before="120" w:after="0" w:line="360" w:lineRule="auto"/>
        <w:jc w:val="both"/>
      </w:pPr>
      <w:r>
        <w:rPr>
          <w:rFonts w:ascii="Arial" w:hAnsi="Arial" w:cs="Arial"/>
          <w:sz w:val="20"/>
          <w:szCs w:val="20"/>
          <w:u w:val="single"/>
        </w:rPr>
        <w:t>fonti ufficiali nazionali e internazionali</w:t>
      </w:r>
      <w:r>
        <w:rPr>
          <w:rFonts w:ascii="Arial" w:hAnsi="Arial" w:cs="Arial"/>
          <w:sz w:val="20"/>
          <w:szCs w:val="20"/>
        </w:rPr>
        <w:t>: gran parte delle informazioni macroeconomiche proviene dagli enti statistici e finanziari pubblici. ISTAT fornisce i conti nazionali italiani, indicatori mensili e microdati; la Banca d’Italia contribuisce con statistiche monetarie e creditizie, bilancia dei pagamenti, sondaggistica; altre Amministrazioni nazionali (Ministero del Lavoro, INPS, ecc.) sono fonti per dati specifici. A livello internazionale, si attinge ai database di Eurostat (situazione economica comparata UE), BCE (indicatori monetari dell’Eurozona), OCSE, FMI, Banca Mondiale, ONU e altri organismi per indicatori globali comparabili;</w:t>
      </w:r>
    </w:p>
    <w:p w14:paraId="799154CD" w14:textId="77777777" w:rsidR="007067A0" w:rsidRDefault="00A337D9">
      <w:pPr>
        <w:pStyle w:val="NormaleWeb"/>
        <w:numPr>
          <w:ilvl w:val="0"/>
          <w:numId w:val="3"/>
        </w:numPr>
        <w:spacing w:before="120" w:after="0" w:line="360" w:lineRule="auto"/>
        <w:jc w:val="both"/>
      </w:pPr>
      <w:r>
        <w:rPr>
          <w:rFonts w:ascii="Arial" w:hAnsi="Arial" w:cs="Arial"/>
          <w:sz w:val="20"/>
          <w:szCs w:val="20"/>
          <w:u w:val="single"/>
        </w:rPr>
        <w:t>dati microeconomici e di bilancio</w:t>
      </w:r>
      <w:r>
        <w:rPr>
          <w:rFonts w:ascii="Arial" w:hAnsi="Arial" w:cs="Arial"/>
          <w:sz w:val="20"/>
          <w:szCs w:val="20"/>
        </w:rPr>
        <w:t xml:space="preserve">: per analisi specifiche la Direzione impiega anche banche dati micro. Ad esempio, per studi su imprese utilizza basi come CERVED (bilanci aziendali), per il settore bancario dati da </w:t>
      </w:r>
      <w:proofErr w:type="spellStart"/>
      <w:r>
        <w:rPr>
          <w:rFonts w:ascii="Arial" w:hAnsi="Arial" w:cs="Arial"/>
          <w:sz w:val="20"/>
          <w:szCs w:val="20"/>
        </w:rPr>
        <w:t>BankFocus</w:t>
      </w:r>
      <w:proofErr w:type="spellEnd"/>
      <w:r>
        <w:rPr>
          <w:rFonts w:ascii="Arial" w:hAnsi="Arial" w:cs="Arial"/>
          <w:sz w:val="20"/>
          <w:szCs w:val="20"/>
        </w:rPr>
        <w:t xml:space="preserve"> o segnalazioni di vigilanza, per finanza pubblica locale dati della Ragioneria Generale (BDAP), ecc. </w:t>
      </w:r>
    </w:p>
    <w:p w14:paraId="799154CE" w14:textId="5C86FB08" w:rsidR="007067A0" w:rsidRDefault="00A337D9">
      <w:pPr>
        <w:pStyle w:val="NormaleWeb"/>
        <w:numPr>
          <w:ilvl w:val="0"/>
          <w:numId w:val="3"/>
        </w:numPr>
        <w:spacing w:before="120" w:after="0" w:line="360" w:lineRule="auto"/>
        <w:jc w:val="both"/>
      </w:pPr>
      <w:r>
        <w:rPr>
          <w:rFonts w:ascii="Arial" w:hAnsi="Arial" w:cs="Arial"/>
          <w:sz w:val="20"/>
          <w:szCs w:val="20"/>
          <w:u w:val="single"/>
        </w:rPr>
        <w:t>banche dati e provider privati di dati macro-finanziari</w:t>
      </w:r>
      <w:r>
        <w:rPr>
          <w:rFonts w:ascii="Arial" w:hAnsi="Arial" w:cs="Arial"/>
          <w:sz w:val="20"/>
          <w:szCs w:val="20"/>
        </w:rPr>
        <w:t>: la Direzione si avvale di database commerciali che raccolgono dati economici e di mercato da tutto il mondo. L’integrazione di tutte queste fonti è una sfida cruciale: i dati hanno frequenze diverse (es. mensile vs trimestrale</w:t>
      </w:r>
      <w:r w:rsidR="002F070C">
        <w:rPr>
          <w:rFonts w:ascii="Arial" w:hAnsi="Arial" w:cs="Arial"/>
          <w:sz w:val="20"/>
          <w:szCs w:val="20"/>
        </w:rPr>
        <w:t xml:space="preserve"> vs annuale</w:t>
      </w:r>
      <w:r>
        <w:rPr>
          <w:rFonts w:ascii="Arial" w:hAnsi="Arial" w:cs="Arial"/>
          <w:sz w:val="20"/>
          <w:szCs w:val="20"/>
        </w:rPr>
        <w:t xml:space="preserve">), formati differenti, e giungono con tempistiche variabili. </w:t>
      </w:r>
    </w:p>
    <w:p w14:paraId="799154CF" w14:textId="77777777" w:rsidR="007067A0" w:rsidRDefault="00A337D9">
      <w:pPr>
        <w:pStyle w:val="NormaleWeb"/>
        <w:spacing w:before="120" w:after="0" w:line="360" w:lineRule="auto"/>
        <w:ind w:left="360"/>
        <w:jc w:val="both"/>
        <w:rPr>
          <w:rFonts w:ascii="Arial" w:hAnsi="Arial" w:cs="Arial"/>
          <w:sz w:val="20"/>
          <w:szCs w:val="20"/>
        </w:rPr>
      </w:pPr>
      <w:r>
        <w:rPr>
          <w:rFonts w:ascii="Arial" w:hAnsi="Arial" w:cs="Arial"/>
          <w:sz w:val="20"/>
          <w:szCs w:val="20"/>
        </w:rPr>
        <w:t xml:space="preserve">La Direzione ha sviluppato infatti procedure e strumenti per raccogliere e armonizzare i dati in modo efficiente. È quindi fondamentale assicurare aggiornamento tempestivo e integrazione coerente dei dati provenienti da fonti eterogenee tramite programmi di </w:t>
      </w:r>
      <w:proofErr w:type="spellStart"/>
      <w:r>
        <w:rPr>
          <w:rFonts w:ascii="Arial" w:hAnsi="Arial" w:cs="Arial"/>
          <w:sz w:val="20"/>
          <w:szCs w:val="20"/>
        </w:rPr>
        <w:t>databanking</w:t>
      </w:r>
      <w:proofErr w:type="spellEnd"/>
      <w:r>
        <w:rPr>
          <w:rFonts w:ascii="Arial" w:hAnsi="Arial" w:cs="Arial"/>
          <w:sz w:val="20"/>
          <w:szCs w:val="20"/>
        </w:rPr>
        <w:t xml:space="preserve">. Ciò significa, ad esempio, che quando escono i nuovi dati ISTAT trimestrali, essi devono essere rapidamente incorporati nei modelli di previsione (aggiornando ITEM e JBM. Per farlo, la Direzione utilizza sia strumenti interni sia le piattaforme fornite dai provider. </w:t>
      </w:r>
    </w:p>
    <w:p w14:paraId="799154D0" w14:textId="77777777" w:rsidR="007067A0" w:rsidRDefault="00A337D9">
      <w:pPr>
        <w:pStyle w:val="NormaleWeb"/>
        <w:spacing w:before="120" w:after="0" w:line="360" w:lineRule="auto"/>
        <w:ind w:left="360"/>
        <w:jc w:val="both"/>
      </w:pPr>
      <w:r>
        <w:rPr>
          <w:rFonts w:ascii="Arial" w:hAnsi="Arial" w:cs="Arial"/>
          <w:sz w:val="20"/>
          <w:szCs w:val="20"/>
        </w:rPr>
        <w:t xml:space="preserve">Un altro aspetto critico è la </w:t>
      </w:r>
      <w:r>
        <w:rPr>
          <w:rFonts w:ascii="Arial" w:hAnsi="Arial" w:cs="Arial"/>
          <w:i/>
          <w:iCs/>
          <w:sz w:val="20"/>
          <w:szCs w:val="20"/>
        </w:rPr>
        <w:t>tempestività</w:t>
      </w:r>
      <w:r>
        <w:rPr>
          <w:rFonts w:ascii="Arial" w:hAnsi="Arial" w:cs="Arial"/>
          <w:sz w:val="20"/>
          <w:szCs w:val="20"/>
        </w:rPr>
        <w:t xml:space="preserve">. La necessità di rispondere a richieste improvvise o di preparare scenari in tempi stretti impone che i dati siano “freschi”. L’accesso ai database e alle informazioni ivi contenute è un elemento essenziale per aggiornare la maggior parte delle serie entro pochi minuti dal rilascio ufficiale, consentendo agli analisti del Tesoro di averle immediatamente a disposizione. In assenza di tale supporto, bisognerebbe attendere comunicati stampa o cercare manualmente dati grezzi, con rischio di ritardo o errore. </w:t>
      </w:r>
    </w:p>
    <w:p w14:paraId="799154D1" w14:textId="1304CF21" w:rsidR="007067A0" w:rsidRDefault="00A337D9">
      <w:pPr>
        <w:pStyle w:val="NormaleWeb"/>
        <w:spacing w:before="120" w:after="0" w:line="360" w:lineRule="auto"/>
        <w:jc w:val="both"/>
        <w:rPr>
          <w:rFonts w:ascii="Arial" w:hAnsi="Arial" w:cs="Arial"/>
          <w:sz w:val="20"/>
          <w:szCs w:val="20"/>
        </w:rPr>
      </w:pPr>
      <w:r>
        <w:rPr>
          <w:rFonts w:ascii="Arial" w:hAnsi="Arial" w:cs="Arial"/>
          <w:sz w:val="20"/>
          <w:szCs w:val="20"/>
        </w:rPr>
        <w:t xml:space="preserve">In sintesi, la Direzione I utilizza un approccio misto: sfrutta al massimo i dati ufficiali (per garantirne l’autorevolezza e appropriatezza istituzionale), ma integra e completa il quadro tramite banche dati globali per coprire gli indicatori </w:t>
      </w:r>
      <w:r w:rsidR="002F070C">
        <w:rPr>
          <w:rFonts w:ascii="Arial" w:hAnsi="Arial" w:cs="Arial"/>
          <w:sz w:val="20"/>
          <w:szCs w:val="20"/>
        </w:rPr>
        <w:t>economici e</w:t>
      </w:r>
      <w:r>
        <w:rPr>
          <w:rFonts w:ascii="Arial" w:hAnsi="Arial" w:cs="Arial"/>
          <w:sz w:val="20"/>
          <w:szCs w:val="20"/>
        </w:rPr>
        <w:t xml:space="preserve"> finanziari</w:t>
      </w:r>
      <w:r w:rsidR="002F070C">
        <w:rPr>
          <w:rFonts w:ascii="Arial" w:hAnsi="Arial" w:cs="Arial"/>
          <w:sz w:val="20"/>
          <w:szCs w:val="20"/>
        </w:rPr>
        <w:t xml:space="preserve"> (nazionali ed internazionali)</w:t>
      </w:r>
      <w:r>
        <w:rPr>
          <w:rFonts w:ascii="Arial" w:hAnsi="Arial" w:cs="Arial"/>
          <w:sz w:val="20"/>
          <w:szCs w:val="20"/>
        </w:rPr>
        <w:t xml:space="preserve"> e ad alta frequenza in modo efficiente. Questo mix garantisce che nelle sue analisi nulla manchi – </w:t>
      </w:r>
      <w:r>
        <w:rPr>
          <w:rFonts w:ascii="Arial" w:hAnsi="Arial" w:cs="Arial"/>
          <w:sz w:val="20"/>
          <w:szCs w:val="20"/>
        </w:rPr>
        <w:lastRenderedPageBreak/>
        <w:t>dall’ultimo dato di PIL italiano ai dati sulle materie prime e sulle economie emergenti – e che i modelli siano sempre alimentati con informazioni aggiornate, coerenti e di ampia copertura.</w:t>
      </w:r>
    </w:p>
    <w:p w14:paraId="799154D2" w14:textId="77777777" w:rsidR="007067A0" w:rsidRDefault="00A337D9">
      <w:pPr>
        <w:pStyle w:val="NormaleWeb"/>
        <w:spacing w:before="120" w:after="0" w:line="360" w:lineRule="auto"/>
        <w:jc w:val="both"/>
        <w:rPr>
          <w:rFonts w:ascii="Arial" w:hAnsi="Arial" w:cs="Arial"/>
          <w:sz w:val="20"/>
          <w:szCs w:val="20"/>
        </w:rPr>
      </w:pPr>
      <w:r>
        <w:rPr>
          <w:rFonts w:ascii="Arial" w:hAnsi="Arial" w:cs="Arial"/>
          <w:sz w:val="20"/>
          <w:szCs w:val="20"/>
        </w:rPr>
        <w:t>L’acquisizione della banca dati Haver Analytics si inquadra nelle esigenze della Direzione I del Dipartimento del Tesoro (DT), emerse negli ultimi mesi in materia di dati macroeconomici, anche alla luce delle restrizioni di bilancio attese per il 2026, che implicano il ricorso a forniture più economiche rispetto alle attuali banche dati, per le quali è prevista una rilevante contrazione del perimetro della fornitura. A tal fine durante i mesi di giugno e luglio 2025 è stata condotta al DT una sperimentazione tramite utenze “trial” Haver Analytics, utile a verificare la coerenza della banca dati con le esigenze degli utenti della Direzione di Analisi Economico-Finanziaria del DT. Contestualmente è stata valutata anche l’offerta del principale competitor di Haver Analytics in termini di costo e perimetro dei dati.</w:t>
      </w:r>
    </w:p>
    <w:p w14:paraId="799154D3" w14:textId="77777777" w:rsidR="007067A0" w:rsidRDefault="007067A0">
      <w:pPr>
        <w:pageBreakBefore/>
        <w:rPr>
          <w:rFonts w:ascii="Arial" w:hAnsi="Arial" w:cs="Arial"/>
          <w:sz w:val="20"/>
          <w:szCs w:val="20"/>
        </w:rPr>
      </w:pPr>
    </w:p>
    <w:p w14:paraId="799154D4" w14:textId="77777777" w:rsidR="007067A0" w:rsidRDefault="00A337D9">
      <w:pPr>
        <w:pStyle w:val="Titolo1"/>
      </w:pPr>
      <w:r>
        <w:t>Oggetto dell’iniziativa</w:t>
      </w:r>
    </w:p>
    <w:p w14:paraId="799154D5" w14:textId="77777777" w:rsidR="007067A0" w:rsidRDefault="00A337D9">
      <w:pPr>
        <w:pStyle w:val="NormaleWeb"/>
        <w:spacing w:before="120" w:after="0" w:line="360" w:lineRule="auto"/>
        <w:jc w:val="both"/>
        <w:rPr>
          <w:rFonts w:ascii="Arial" w:hAnsi="Arial" w:cs="Arial"/>
          <w:sz w:val="20"/>
          <w:szCs w:val="20"/>
        </w:rPr>
      </w:pPr>
      <w:r>
        <w:rPr>
          <w:rFonts w:ascii="Arial" w:hAnsi="Arial" w:cs="Arial"/>
          <w:sz w:val="20"/>
          <w:szCs w:val="20"/>
        </w:rPr>
        <w:t>L’oggetto della fornitura è il seguente e si compone di Database base e opzionali:</w:t>
      </w:r>
    </w:p>
    <w:tbl>
      <w:tblPr>
        <w:tblW w:w="7508" w:type="dxa"/>
        <w:tblCellMar>
          <w:left w:w="10" w:type="dxa"/>
          <w:right w:w="10" w:type="dxa"/>
        </w:tblCellMar>
        <w:tblLook w:val="04A0" w:firstRow="1" w:lastRow="0" w:firstColumn="1" w:lastColumn="0" w:noHBand="0" w:noVBand="1"/>
      </w:tblPr>
      <w:tblGrid>
        <w:gridCol w:w="7508"/>
      </w:tblGrid>
      <w:tr w:rsidR="007067A0" w14:paraId="799154D7" w14:textId="77777777">
        <w:trPr>
          <w:trHeight w:val="288"/>
        </w:trPr>
        <w:tc>
          <w:tcPr>
            <w:tcW w:w="7508"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tcPr>
          <w:p w14:paraId="799154D6" w14:textId="77777777" w:rsidR="007067A0" w:rsidRDefault="00A337D9">
            <w:pPr>
              <w:jc w:val="center"/>
            </w:pPr>
            <w:r>
              <w:rPr>
                <w:rFonts w:ascii="Arial" w:hAnsi="Arial" w:cs="Arial"/>
                <w:b/>
                <w:bCs/>
                <w:sz w:val="20"/>
                <w:szCs w:val="20"/>
              </w:rPr>
              <w:t>Lista Database base</w:t>
            </w:r>
          </w:p>
        </w:tc>
      </w:tr>
      <w:tr w:rsidR="007067A0" w:rsidRPr="00216AE6" w14:paraId="799154D9" w14:textId="77777777">
        <w:trPr>
          <w:trHeight w:val="288"/>
        </w:trPr>
        <w:tc>
          <w:tcPr>
            <w:tcW w:w="7508" w:type="dxa"/>
            <w:tcBorders>
              <w:left w:val="single" w:sz="4" w:space="0" w:color="000000"/>
              <w:bottom w:val="single" w:sz="4" w:space="0" w:color="000000"/>
              <w:right w:val="single" w:sz="4" w:space="0" w:color="000000"/>
            </w:tcBorders>
            <w:noWrap/>
            <w:tcMar>
              <w:top w:w="0" w:type="dxa"/>
              <w:left w:w="70" w:type="dxa"/>
              <w:bottom w:w="0" w:type="dxa"/>
              <w:right w:w="70" w:type="dxa"/>
            </w:tcMar>
          </w:tcPr>
          <w:p w14:paraId="799154D8" w14:textId="77777777" w:rsidR="007067A0" w:rsidRPr="00592D50" w:rsidRDefault="00A337D9">
            <w:pPr>
              <w:rPr>
                <w:lang w:val="en-US"/>
              </w:rPr>
            </w:pPr>
            <w:r>
              <w:rPr>
                <w:rFonts w:ascii="Arial" w:hAnsi="Arial" w:cs="Arial"/>
                <w:sz w:val="20"/>
                <w:szCs w:val="20"/>
                <w:lang w:val="en-US"/>
              </w:rPr>
              <w:t>Full U.S. Service (U.S. Basic Economic, Daily/Weekly &amp; U.S. Specialized)</w:t>
            </w:r>
          </w:p>
        </w:tc>
      </w:tr>
      <w:tr w:rsidR="007067A0" w14:paraId="799154DB" w14:textId="77777777">
        <w:trPr>
          <w:trHeight w:val="288"/>
        </w:trPr>
        <w:tc>
          <w:tcPr>
            <w:tcW w:w="7508" w:type="dxa"/>
            <w:tcBorders>
              <w:left w:val="single" w:sz="4" w:space="0" w:color="000000"/>
              <w:bottom w:val="single" w:sz="4" w:space="0" w:color="000000"/>
              <w:right w:val="single" w:sz="4" w:space="0" w:color="000000"/>
            </w:tcBorders>
            <w:noWrap/>
            <w:tcMar>
              <w:top w:w="0" w:type="dxa"/>
              <w:left w:w="70" w:type="dxa"/>
              <w:bottom w:w="0" w:type="dxa"/>
              <w:right w:w="70" w:type="dxa"/>
            </w:tcMar>
          </w:tcPr>
          <w:p w14:paraId="799154DA" w14:textId="77777777" w:rsidR="007067A0" w:rsidRDefault="00A337D9">
            <w:r>
              <w:rPr>
                <w:rFonts w:ascii="Arial" w:hAnsi="Arial" w:cs="Arial"/>
                <w:sz w:val="20"/>
                <w:szCs w:val="20"/>
              </w:rPr>
              <w:t xml:space="preserve">Advanced </w:t>
            </w:r>
            <w:proofErr w:type="spellStart"/>
            <w:r>
              <w:rPr>
                <w:rFonts w:ascii="Arial" w:hAnsi="Arial" w:cs="Arial"/>
                <w:sz w:val="20"/>
                <w:szCs w:val="20"/>
              </w:rPr>
              <w:t>Economies</w:t>
            </w:r>
            <w:proofErr w:type="spellEnd"/>
            <w:r>
              <w:rPr>
                <w:rFonts w:ascii="Arial" w:hAnsi="Arial" w:cs="Arial"/>
                <w:sz w:val="20"/>
                <w:szCs w:val="20"/>
              </w:rPr>
              <w:t xml:space="preserve"> Package</w:t>
            </w:r>
          </w:p>
        </w:tc>
      </w:tr>
      <w:tr w:rsidR="007067A0" w14:paraId="799154DD" w14:textId="77777777">
        <w:trPr>
          <w:trHeight w:val="288"/>
        </w:trPr>
        <w:tc>
          <w:tcPr>
            <w:tcW w:w="7508" w:type="dxa"/>
            <w:tcBorders>
              <w:left w:val="single" w:sz="4" w:space="0" w:color="000000"/>
              <w:bottom w:val="single" w:sz="4" w:space="0" w:color="000000"/>
              <w:right w:val="single" w:sz="4" w:space="0" w:color="000000"/>
            </w:tcBorders>
            <w:noWrap/>
            <w:tcMar>
              <w:top w:w="0" w:type="dxa"/>
              <w:left w:w="70" w:type="dxa"/>
              <w:bottom w:w="0" w:type="dxa"/>
              <w:right w:w="70" w:type="dxa"/>
            </w:tcMar>
          </w:tcPr>
          <w:p w14:paraId="799154DC" w14:textId="77777777" w:rsidR="007067A0" w:rsidRDefault="00A337D9">
            <w:proofErr w:type="spellStart"/>
            <w:r>
              <w:rPr>
                <w:rFonts w:ascii="Arial" w:hAnsi="Arial" w:cs="Arial"/>
                <w:sz w:val="20"/>
                <w:szCs w:val="20"/>
              </w:rPr>
              <w:t>European</w:t>
            </w:r>
            <w:proofErr w:type="spellEnd"/>
            <w:r>
              <w:rPr>
                <w:rFonts w:ascii="Arial" w:hAnsi="Arial" w:cs="Arial"/>
                <w:sz w:val="20"/>
                <w:szCs w:val="20"/>
              </w:rPr>
              <w:t xml:space="preserve"> Union </w:t>
            </w:r>
            <w:proofErr w:type="spellStart"/>
            <w:r>
              <w:rPr>
                <w:rFonts w:ascii="Arial" w:hAnsi="Arial" w:cs="Arial"/>
                <w:sz w:val="20"/>
                <w:szCs w:val="20"/>
              </w:rPr>
              <w:t>Specialized</w:t>
            </w:r>
            <w:proofErr w:type="spellEnd"/>
            <w:r>
              <w:rPr>
                <w:rFonts w:ascii="Arial" w:hAnsi="Arial" w:cs="Arial"/>
                <w:sz w:val="20"/>
                <w:szCs w:val="20"/>
              </w:rPr>
              <w:t xml:space="preserve"> Package</w:t>
            </w:r>
          </w:p>
        </w:tc>
      </w:tr>
      <w:tr w:rsidR="007067A0" w14:paraId="799154DF" w14:textId="77777777">
        <w:trPr>
          <w:trHeight w:val="288"/>
        </w:trPr>
        <w:tc>
          <w:tcPr>
            <w:tcW w:w="7508" w:type="dxa"/>
            <w:tcBorders>
              <w:left w:val="single" w:sz="4" w:space="0" w:color="000000"/>
              <w:bottom w:val="single" w:sz="4" w:space="0" w:color="000000"/>
              <w:right w:val="single" w:sz="4" w:space="0" w:color="000000"/>
            </w:tcBorders>
            <w:noWrap/>
            <w:tcMar>
              <w:top w:w="0" w:type="dxa"/>
              <w:left w:w="70" w:type="dxa"/>
              <w:bottom w:w="0" w:type="dxa"/>
              <w:right w:w="70" w:type="dxa"/>
            </w:tcMar>
          </w:tcPr>
          <w:p w14:paraId="799154DE" w14:textId="77777777" w:rsidR="007067A0" w:rsidRDefault="00A337D9">
            <w:r>
              <w:rPr>
                <w:rFonts w:ascii="Arial" w:hAnsi="Arial" w:cs="Arial"/>
                <w:sz w:val="20"/>
                <w:szCs w:val="20"/>
              </w:rPr>
              <w:t>International Daily/Weekly Package</w:t>
            </w:r>
          </w:p>
        </w:tc>
      </w:tr>
      <w:tr w:rsidR="007067A0" w14:paraId="799154E1" w14:textId="77777777">
        <w:trPr>
          <w:trHeight w:val="288"/>
        </w:trPr>
        <w:tc>
          <w:tcPr>
            <w:tcW w:w="7508" w:type="dxa"/>
            <w:tcBorders>
              <w:left w:val="single" w:sz="4" w:space="0" w:color="000000"/>
              <w:bottom w:val="single" w:sz="4" w:space="0" w:color="000000"/>
              <w:right w:val="single" w:sz="4" w:space="0" w:color="000000"/>
            </w:tcBorders>
            <w:noWrap/>
            <w:tcMar>
              <w:top w:w="0" w:type="dxa"/>
              <w:left w:w="70" w:type="dxa"/>
              <w:bottom w:w="0" w:type="dxa"/>
              <w:right w:w="70" w:type="dxa"/>
            </w:tcMar>
          </w:tcPr>
          <w:p w14:paraId="799154E0" w14:textId="77777777" w:rsidR="007067A0" w:rsidRDefault="00A337D9">
            <w:r>
              <w:rPr>
                <w:rFonts w:ascii="Arial" w:hAnsi="Arial" w:cs="Arial"/>
                <w:sz w:val="20"/>
                <w:szCs w:val="20"/>
              </w:rPr>
              <w:t>International Surveys</w:t>
            </w:r>
          </w:p>
        </w:tc>
      </w:tr>
      <w:tr w:rsidR="007067A0" w:rsidRPr="00216AE6" w14:paraId="799154E3" w14:textId="77777777">
        <w:trPr>
          <w:trHeight w:val="288"/>
        </w:trPr>
        <w:tc>
          <w:tcPr>
            <w:tcW w:w="7508" w:type="dxa"/>
            <w:tcBorders>
              <w:left w:val="single" w:sz="4" w:space="0" w:color="000000"/>
              <w:bottom w:val="single" w:sz="4" w:space="0" w:color="000000"/>
              <w:right w:val="single" w:sz="4" w:space="0" w:color="000000"/>
            </w:tcBorders>
            <w:noWrap/>
            <w:tcMar>
              <w:top w:w="0" w:type="dxa"/>
              <w:left w:w="70" w:type="dxa"/>
              <w:bottom w:w="0" w:type="dxa"/>
              <w:right w:w="70" w:type="dxa"/>
            </w:tcMar>
          </w:tcPr>
          <w:p w14:paraId="799154E2" w14:textId="77777777" w:rsidR="007067A0" w:rsidRPr="00592D50" w:rsidRDefault="00A337D9">
            <w:pPr>
              <w:rPr>
                <w:lang w:val="en-US"/>
              </w:rPr>
            </w:pPr>
            <w:r>
              <w:rPr>
                <w:rFonts w:ascii="Arial" w:hAnsi="Arial" w:cs="Arial"/>
                <w:sz w:val="20"/>
                <w:szCs w:val="20"/>
                <w:lang w:val="en-US"/>
              </w:rPr>
              <w:t>Environmental Social and Governance Indicators</w:t>
            </w:r>
          </w:p>
        </w:tc>
      </w:tr>
      <w:tr w:rsidR="007067A0" w14:paraId="799154E5" w14:textId="77777777">
        <w:trPr>
          <w:trHeight w:val="288"/>
        </w:trPr>
        <w:tc>
          <w:tcPr>
            <w:tcW w:w="7508" w:type="dxa"/>
            <w:tcBorders>
              <w:left w:val="single" w:sz="4" w:space="0" w:color="000000"/>
              <w:bottom w:val="single" w:sz="4" w:space="0" w:color="000000"/>
              <w:right w:val="single" w:sz="4" w:space="0" w:color="000000"/>
            </w:tcBorders>
            <w:noWrap/>
            <w:tcMar>
              <w:top w:w="0" w:type="dxa"/>
              <w:left w:w="70" w:type="dxa"/>
              <w:bottom w:w="0" w:type="dxa"/>
              <w:right w:w="70" w:type="dxa"/>
            </w:tcMar>
          </w:tcPr>
          <w:p w14:paraId="799154E4" w14:textId="77777777" w:rsidR="007067A0" w:rsidRDefault="00A337D9">
            <w:proofErr w:type="spellStart"/>
            <w:r>
              <w:rPr>
                <w:rFonts w:ascii="Arial" w:hAnsi="Arial" w:cs="Arial"/>
                <w:sz w:val="20"/>
                <w:szCs w:val="20"/>
              </w:rPr>
              <w:t>Emerging</w:t>
            </w:r>
            <w:proofErr w:type="spellEnd"/>
            <w:r>
              <w:rPr>
                <w:rFonts w:ascii="Arial" w:hAnsi="Arial" w:cs="Arial"/>
                <w:sz w:val="20"/>
                <w:szCs w:val="20"/>
              </w:rPr>
              <w:t xml:space="preserve"> Markets Package</w:t>
            </w:r>
          </w:p>
        </w:tc>
      </w:tr>
      <w:tr w:rsidR="007067A0" w14:paraId="799154E7" w14:textId="77777777">
        <w:trPr>
          <w:trHeight w:val="288"/>
        </w:trPr>
        <w:tc>
          <w:tcPr>
            <w:tcW w:w="7508" w:type="dxa"/>
            <w:tcBorders>
              <w:left w:val="single" w:sz="4" w:space="0" w:color="000000"/>
              <w:bottom w:val="single" w:sz="4" w:space="0" w:color="000000"/>
              <w:right w:val="single" w:sz="4" w:space="0" w:color="000000"/>
            </w:tcBorders>
            <w:noWrap/>
            <w:tcMar>
              <w:top w:w="0" w:type="dxa"/>
              <w:left w:w="70" w:type="dxa"/>
              <w:bottom w:w="0" w:type="dxa"/>
              <w:right w:w="70" w:type="dxa"/>
            </w:tcMar>
          </w:tcPr>
          <w:p w14:paraId="799154E6" w14:textId="77777777" w:rsidR="007067A0" w:rsidRDefault="00A337D9">
            <w:r>
              <w:rPr>
                <w:rFonts w:ascii="Arial" w:hAnsi="Arial" w:cs="Arial"/>
                <w:sz w:val="20"/>
                <w:szCs w:val="20"/>
              </w:rPr>
              <w:t>OECD Package</w:t>
            </w:r>
          </w:p>
        </w:tc>
      </w:tr>
      <w:tr w:rsidR="007067A0" w14:paraId="799154E9" w14:textId="77777777">
        <w:trPr>
          <w:trHeight w:val="288"/>
        </w:trPr>
        <w:tc>
          <w:tcPr>
            <w:tcW w:w="7508" w:type="dxa"/>
            <w:tcBorders>
              <w:left w:val="single" w:sz="4" w:space="0" w:color="000000"/>
              <w:bottom w:val="single" w:sz="4" w:space="0" w:color="000000"/>
              <w:right w:val="single" w:sz="4" w:space="0" w:color="000000"/>
            </w:tcBorders>
            <w:noWrap/>
            <w:tcMar>
              <w:top w:w="0" w:type="dxa"/>
              <w:left w:w="70" w:type="dxa"/>
              <w:bottom w:w="0" w:type="dxa"/>
              <w:right w:w="70" w:type="dxa"/>
            </w:tcMar>
          </w:tcPr>
          <w:p w14:paraId="799154E8" w14:textId="77777777" w:rsidR="007067A0" w:rsidRDefault="00A337D9">
            <w:r>
              <w:rPr>
                <w:rFonts w:ascii="Arial" w:hAnsi="Arial" w:cs="Arial"/>
                <w:sz w:val="20"/>
                <w:szCs w:val="20"/>
              </w:rPr>
              <w:t>Special International Package</w:t>
            </w:r>
          </w:p>
        </w:tc>
      </w:tr>
      <w:tr w:rsidR="007067A0" w14:paraId="799154EB" w14:textId="77777777">
        <w:trPr>
          <w:trHeight w:val="288"/>
        </w:trPr>
        <w:tc>
          <w:tcPr>
            <w:tcW w:w="7508" w:type="dxa"/>
            <w:tcBorders>
              <w:left w:val="single" w:sz="4" w:space="0" w:color="000000"/>
              <w:bottom w:val="single" w:sz="4" w:space="0" w:color="000000"/>
              <w:right w:val="single" w:sz="4" w:space="0" w:color="000000"/>
            </w:tcBorders>
            <w:noWrap/>
            <w:tcMar>
              <w:top w:w="0" w:type="dxa"/>
              <w:left w:w="70" w:type="dxa"/>
              <w:bottom w:w="0" w:type="dxa"/>
              <w:right w:w="70" w:type="dxa"/>
            </w:tcMar>
          </w:tcPr>
          <w:p w14:paraId="799154EA" w14:textId="77777777" w:rsidR="007067A0" w:rsidRDefault="00A337D9">
            <w:r>
              <w:rPr>
                <w:rFonts w:ascii="Arial" w:hAnsi="Arial" w:cs="Arial"/>
                <w:sz w:val="20"/>
                <w:szCs w:val="20"/>
              </w:rPr>
              <w:t>Italy Regional</w:t>
            </w:r>
          </w:p>
        </w:tc>
      </w:tr>
      <w:tr w:rsidR="007067A0" w14:paraId="799154ED" w14:textId="77777777">
        <w:trPr>
          <w:trHeight w:val="288"/>
        </w:trPr>
        <w:tc>
          <w:tcPr>
            <w:tcW w:w="7508" w:type="dxa"/>
            <w:tcBorders>
              <w:left w:val="single" w:sz="4" w:space="0" w:color="000000"/>
              <w:bottom w:val="single" w:sz="4" w:space="0" w:color="000000"/>
              <w:right w:val="single" w:sz="4" w:space="0" w:color="000000"/>
            </w:tcBorders>
            <w:noWrap/>
            <w:tcMar>
              <w:top w:w="0" w:type="dxa"/>
              <w:left w:w="70" w:type="dxa"/>
              <w:bottom w:w="0" w:type="dxa"/>
              <w:right w:w="70" w:type="dxa"/>
            </w:tcMar>
          </w:tcPr>
          <w:p w14:paraId="799154EC" w14:textId="77777777" w:rsidR="007067A0" w:rsidRDefault="00A337D9">
            <w:r>
              <w:rPr>
                <w:rFonts w:ascii="Arial" w:hAnsi="Arial" w:cs="Arial"/>
                <w:sz w:val="20"/>
                <w:szCs w:val="20"/>
              </w:rPr>
              <w:t>Global Sector data</w:t>
            </w:r>
          </w:p>
        </w:tc>
      </w:tr>
      <w:tr w:rsidR="007067A0" w14:paraId="799154EF" w14:textId="77777777">
        <w:trPr>
          <w:trHeight w:val="288"/>
        </w:trPr>
        <w:tc>
          <w:tcPr>
            <w:tcW w:w="7508" w:type="dxa"/>
            <w:tcBorders>
              <w:left w:val="single" w:sz="4" w:space="0" w:color="000000"/>
              <w:bottom w:val="single" w:sz="4" w:space="0" w:color="000000"/>
              <w:right w:val="single" w:sz="4" w:space="0" w:color="000000"/>
            </w:tcBorders>
            <w:noWrap/>
            <w:tcMar>
              <w:top w:w="0" w:type="dxa"/>
              <w:left w:w="70" w:type="dxa"/>
              <w:bottom w:w="0" w:type="dxa"/>
              <w:right w:w="70" w:type="dxa"/>
            </w:tcMar>
          </w:tcPr>
          <w:p w14:paraId="799154EE" w14:textId="77777777" w:rsidR="007067A0" w:rsidRDefault="00A337D9">
            <w:r>
              <w:rPr>
                <w:rFonts w:ascii="Arial" w:hAnsi="Arial" w:cs="Arial"/>
                <w:sz w:val="20"/>
                <w:szCs w:val="20"/>
              </w:rPr>
              <w:t>Daily Commodity Data</w:t>
            </w:r>
          </w:p>
        </w:tc>
      </w:tr>
      <w:tr w:rsidR="007067A0" w14:paraId="799154F1" w14:textId="77777777">
        <w:trPr>
          <w:trHeight w:val="288"/>
        </w:trPr>
        <w:tc>
          <w:tcPr>
            <w:tcW w:w="7508" w:type="dxa"/>
            <w:tcBorders>
              <w:left w:val="single" w:sz="4" w:space="0" w:color="000000"/>
              <w:bottom w:val="single" w:sz="4" w:space="0" w:color="000000"/>
              <w:right w:val="single" w:sz="4" w:space="0" w:color="000000"/>
            </w:tcBorders>
            <w:noWrap/>
            <w:tcMar>
              <w:top w:w="0" w:type="dxa"/>
              <w:left w:w="70" w:type="dxa"/>
              <w:bottom w:w="0" w:type="dxa"/>
              <w:right w:w="70" w:type="dxa"/>
            </w:tcMar>
          </w:tcPr>
          <w:p w14:paraId="799154F0" w14:textId="77777777" w:rsidR="007067A0" w:rsidRDefault="00A337D9">
            <w:r>
              <w:rPr>
                <w:rFonts w:ascii="Arial" w:hAnsi="Arial" w:cs="Arial"/>
                <w:sz w:val="20"/>
                <w:szCs w:val="20"/>
              </w:rPr>
              <w:t xml:space="preserve">China Sector </w:t>
            </w:r>
            <w:proofErr w:type="spellStart"/>
            <w:r>
              <w:rPr>
                <w:rFonts w:ascii="Arial" w:hAnsi="Arial" w:cs="Arial"/>
                <w:sz w:val="20"/>
                <w:szCs w:val="20"/>
              </w:rPr>
              <w:t>Detail</w:t>
            </w:r>
            <w:proofErr w:type="spellEnd"/>
          </w:p>
        </w:tc>
      </w:tr>
      <w:tr w:rsidR="007067A0" w14:paraId="799154F3" w14:textId="77777777">
        <w:trPr>
          <w:trHeight w:val="288"/>
        </w:trPr>
        <w:tc>
          <w:tcPr>
            <w:tcW w:w="7508" w:type="dxa"/>
            <w:tcBorders>
              <w:left w:val="single" w:sz="4" w:space="0" w:color="000000"/>
              <w:bottom w:val="single" w:sz="4" w:space="0" w:color="000000"/>
              <w:right w:val="single" w:sz="4" w:space="0" w:color="000000"/>
            </w:tcBorders>
            <w:noWrap/>
            <w:tcMar>
              <w:top w:w="0" w:type="dxa"/>
              <w:left w:w="70" w:type="dxa"/>
              <w:bottom w:w="0" w:type="dxa"/>
              <w:right w:w="70" w:type="dxa"/>
            </w:tcMar>
          </w:tcPr>
          <w:p w14:paraId="799154F2" w14:textId="77777777" w:rsidR="007067A0" w:rsidRDefault="00A337D9">
            <w:r>
              <w:rPr>
                <w:rFonts w:ascii="Arial" w:hAnsi="Arial" w:cs="Arial"/>
                <w:sz w:val="20"/>
                <w:szCs w:val="20"/>
              </w:rPr>
              <w:t xml:space="preserve">Baltic </w:t>
            </w:r>
            <w:proofErr w:type="spellStart"/>
            <w:r>
              <w:rPr>
                <w:rFonts w:ascii="Arial" w:hAnsi="Arial" w:cs="Arial"/>
                <w:sz w:val="20"/>
                <w:szCs w:val="20"/>
              </w:rPr>
              <w:t>Freight</w:t>
            </w:r>
            <w:proofErr w:type="spellEnd"/>
            <w:r>
              <w:rPr>
                <w:rFonts w:ascii="Arial" w:hAnsi="Arial" w:cs="Arial"/>
                <w:sz w:val="20"/>
                <w:szCs w:val="20"/>
              </w:rPr>
              <w:t xml:space="preserve"> Indexes</w:t>
            </w:r>
          </w:p>
        </w:tc>
      </w:tr>
      <w:tr w:rsidR="007067A0" w:rsidRPr="00216AE6" w14:paraId="799154F5" w14:textId="77777777">
        <w:trPr>
          <w:trHeight w:val="288"/>
        </w:trPr>
        <w:tc>
          <w:tcPr>
            <w:tcW w:w="7508" w:type="dxa"/>
            <w:tcBorders>
              <w:left w:val="single" w:sz="4" w:space="0" w:color="000000"/>
              <w:bottom w:val="single" w:sz="4" w:space="0" w:color="000000"/>
              <w:right w:val="single" w:sz="4" w:space="0" w:color="000000"/>
            </w:tcBorders>
            <w:noWrap/>
            <w:tcMar>
              <w:top w:w="0" w:type="dxa"/>
              <w:left w:w="70" w:type="dxa"/>
              <w:bottom w:w="0" w:type="dxa"/>
              <w:right w:w="70" w:type="dxa"/>
            </w:tcMar>
          </w:tcPr>
          <w:p w14:paraId="799154F4" w14:textId="77777777" w:rsidR="007067A0" w:rsidRPr="00592D50" w:rsidRDefault="00A337D9">
            <w:pPr>
              <w:rPr>
                <w:lang w:val="en-US"/>
              </w:rPr>
            </w:pPr>
            <w:r>
              <w:rPr>
                <w:rFonts w:ascii="Arial" w:hAnsi="Arial" w:cs="Arial"/>
                <w:sz w:val="20"/>
                <w:szCs w:val="20"/>
                <w:lang w:val="en-US"/>
              </w:rPr>
              <w:t>DLX Archive Databases: Italy (ITALY): Monthly Archives</w:t>
            </w:r>
          </w:p>
        </w:tc>
      </w:tr>
    </w:tbl>
    <w:p w14:paraId="799154F6" w14:textId="77777777" w:rsidR="007067A0" w:rsidRDefault="007067A0">
      <w:pPr>
        <w:pStyle w:val="NormaleWeb"/>
        <w:spacing w:before="120" w:after="0" w:line="360" w:lineRule="auto"/>
        <w:jc w:val="both"/>
        <w:rPr>
          <w:rFonts w:ascii="Arial" w:hAnsi="Arial" w:cs="Arial"/>
          <w:sz w:val="20"/>
          <w:szCs w:val="20"/>
          <w:lang w:val="en-US"/>
        </w:rPr>
      </w:pPr>
    </w:p>
    <w:tbl>
      <w:tblPr>
        <w:tblW w:w="7580" w:type="dxa"/>
        <w:tblCellMar>
          <w:left w:w="10" w:type="dxa"/>
          <w:right w:w="10" w:type="dxa"/>
        </w:tblCellMar>
        <w:tblLook w:val="04A0" w:firstRow="1" w:lastRow="0" w:firstColumn="1" w:lastColumn="0" w:noHBand="0" w:noVBand="1"/>
      </w:tblPr>
      <w:tblGrid>
        <w:gridCol w:w="7580"/>
      </w:tblGrid>
      <w:tr w:rsidR="007067A0" w14:paraId="799154F8" w14:textId="77777777">
        <w:trPr>
          <w:trHeight w:val="288"/>
        </w:trPr>
        <w:tc>
          <w:tcPr>
            <w:tcW w:w="758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tcPr>
          <w:p w14:paraId="799154F7" w14:textId="77777777" w:rsidR="007067A0" w:rsidRDefault="00A337D9">
            <w:pPr>
              <w:jc w:val="center"/>
            </w:pPr>
            <w:r>
              <w:rPr>
                <w:rFonts w:ascii="Arial" w:hAnsi="Arial" w:cs="Arial"/>
                <w:b/>
                <w:bCs/>
                <w:sz w:val="20"/>
                <w:szCs w:val="20"/>
              </w:rPr>
              <w:t>Lista database opzionali</w:t>
            </w:r>
          </w:p>
        </w:tc>
      </w:tr>
      <w:tr w:rsidR="007067A0" w14:paraId="799154FA" w14:textId="77777777">
        <w:trPr>
          <w:trHeight w:val="288"/>
        </w:trPr>
        <w:tc>
          <w:tcPr>
            <w:tcW w:w="7580" w:type="dxa"/>
            <w:tcBorders>
              <w:left w:val="single" w:sz="4" w:space="0" w:color="000000"/>
              <w:bottom w:val="single" w:sz="4" w:space="0" w:color="000000"/>
              <w:right w:val="single" w:sz="4" w:space="0" w:color="000000"/>
            </w:tcBorders>
            <w:noWrap/>
            <w:tcMar>
              <w:top w:w="0" w:type="dxa"/>
              <w:left w:w="70" w:type="dxa"/>
              <w:bottom w:w="0" w:type="dxa"/>
              <w:right w:w="70" w:type="dxa"/>
            </w:tcMar>
          </w:tcPr>
          <w:p w14:paraId="799154F9" w14:textId="77777777" w:rsidR="007067A0" w:rsidRDefault="00A337D9">
            <w:r>
              <w:rPr>
                <w:rFonts w:ascii="Arial" w:hAnsi="Arial" w:cs="Arial"/>
                <w:sz w:val="20"/>
                <w:szCs w:val="20"/>
              </w:rPr>
              <w:t xml:space="preserve">Energy </w:t>
            </w:r>
            <w:proofErr w:type="spellStart"/>
            <w:r>
              <w:rPr>
                <w:rFonts w:ascii="Arial" w:hAnsi="Arial" w:cs="Arial"/>
                <w:sz w:val="20"/>
                <w:szCs w:val="20"/>
              </w:rPr>
              <w:t>Statistics</w:t>
            </w:r>
            <w:proofErr w:type="spellEnd"/>
            <w:r>
              <w:rPr>
                <w:rFonts w:ascii="Arial" w:hAnsi="Arial" w:cs="Arial"/>
                <w:sz w:val="20"/>
                <w:szCs w:val="20"/>
              </w:rPr>
              <w:t xml:space="preserve"> Global</w:t>
            </w:r>
          </w:p>
        </w:tc>
      </w:tr>
      <w:tr w:rsidR="007067A0" w:rsidRPr="00216AE6" w14:paraId="799154FC" w14:textId="77777777">
        <w:trPr>
          <w:trHeight w:val="288"/>
        </w:trPr>
        <w:tc>
          <w:tcPr>
            <w:tcW w:w="7580" w:type="dxa"/>
            <w:tcBorders>
              <w:left w:val="single" w:sz="4" w:space="0" w:color="000000"/>
              <w:bottom w:val="single" w:sz="4" w:space="0" w:color="000000"/>
              <w:right w:val="single" w:sz="4" w:space="0" w:color="000000"/>
            </w:tcBorders>
            <w:noWrap/>
            <w:tcMar>
              <w:top w:w="0" w:type="dxa"/>
              <w:left w:w="70" w:type="dxa"/>
              <w:bottom w:w="0" w:type="dxa"/>
              <w:right w:w="70" w:type="dxa"/>
            </w:tcMar>
          </w:tcPr>
          <w:p w14:paraId="799154FB" w14:textId="77777777" w:rsidR="007067A0" w:rsidRPr="00592D50" w:rsidRDefault="00A337D9">
            <w:pPr>
              <w:rPr>
                <w:lang w:val="en-US"/>
              </w:rPr>
            </w:pPr>
            <w:r>
              <w:rPr>
                <w:rFonts w:ascii="Arial" w:hAnsi="Arial" w:cs="Arial"/>
                <w:sz w:val="20"/>
                <w:szCs w:val="20"/>
                <w:lang w:val="en-US"/>
              </w:rPr>
              <w:t>World Bureau of Metal Statistics</w:t>
            </w:r>
          </w:p>
        </w:tc>
      </w:tr>
      <w:tr w:rsidR="007067A0" w:rsidRPr="00216AE6" w14:paraId="799154FE" w14:textId="77777777">
        <w:trPr>
          <w:trHeight w:val="288"/>
        </w:trPr>
        <w:tc>
          <w:tcPr>
            <w:tcW w:w="7580" w:type="dxa"/>
            <w:tcBorders>
              <w:left w:val="single" w:sz="4" w:space="0" w:color="000000"/>
              <w:bottom w:val="single" w:sz="4" w:space="0" w:color="000000"/>
              <w:right w:val="single" w:sz="4" w:space="0" w:color="000000"/>
            </w:tcBorders>
            <w:noWrap/>
            <w:tcMar>
              <w:top w:w="0" w:type="dxa"/>
              <w:left w:w="70" w:type="dxa"/>
              <w:bottom w:w="0" w:type="dxa"/>
              <w:right w:w="70" w:type="dxa"/>
            </w:tcMar>
          </w:tcPr>
          <w:p w14:paraId="799154FD" w14:textId="77777777" w:rsidR="007067A0" w:rsidRPr="00592D50" w:rsidRDefault="00A337D9">
            <w:pPr>
              <w:rPr>
                <w:lang w:val="en-US"/>
              </w:rPr>
            </w:pPr>
            <w:r>
              <w:rPr>
                <w:rFonts w:ascii="Arial" w:hAnsi="Arial" w:cs="Arial"/>
                <w:sz w:val="20"/>
                <w:szCs w:val="20"/>
                <w:lang w:val="en-US"/>
              </w:rPr>
              <w:t>Morgan Stanley Capital International, MSCI</w:t>
            </w:r>
          </w:p>
        </w:tc>
      </w:tr>
      <w:tr w:rsidR="007067A0" w14:paraId="79915500" w14:textId="77777777">
        <w:trPr>
          <w:trHeight w:val="288"/>
        </w:trPr>
        <w:tc>
          <w:tcPr>
            <w:tcW w:w="7580" w:type="dxa"/>
            <w:tcBorders>
              <w:left w:val="single" w:sz="4" w:space="0" w:color="000000"/>
              <w:bottom w:val="single" w:sz="4" w:space="0" w:color="000000"/>
              <w:right w:val="single" w:sz="4" w:space="0" w:color="000000"/>
            </w:tcBorders>
            <w:noWrap/>
            <w:tcMar>
              <w:top w:w="0" w:type="dxa"/>
              <w:left w:w="70" w:type="dxa"/>
              <w:bottom w:w="0" w:type="dxa"/>
              <w:right w:w="70" w:type="dxa"/>
            </w:tcMar>
          </w:tcPr>
          <w:p w14:paraId="799154FF" w14:textId="77777777" w:rsidR="007067A0" w:rsidRDefault="00A337D9">
            <w:r>
              <w:rPr>
                <w:rFonts w:ascii="Arial" w:hAnsi="Arial" w:cs="Arial"/>
                <w:sz w:val="20"/>
                <w:szCs w:val="20"/>
              </w:rPr>
              <w:t>Financial Futures</w:t>
            </w:r>
          </w:p>
        </w:tc>
      </w:tr>
      <w:tr w:rsidR="007067A0" w14:paraId="79915502" w14:textId="77777777">
        <w:trPr>
          <w:trHeight w:val="288"/>
        </w:trPr>
        <w:tc>
          <w:tcPr>
            <w:tcW w:w="7580" w:type="dxa"/>
            <w:tcBorders>
              <w:left w:val="single" w:sz="4" w:space="0" w:color="000000"/>
              <w:bottom w:val="single" w:sz="4" w:space="0" w:color="000000"/>
              <w:right w:val="single" w:sz="4" w:space="0" w:color="000000"/>
            </w:tcBorders>
            <w:noWrap/>
            <w:tcMar>
              <w:top w:w="0" w:type="dxa"/>
              <w:left w:w="70" w:type="dxa"/>
              <w:bottom w:w="0" w:type="dxa"/>
              <w:right w:w="70" w:type="dxa"/>
            </w:tcMar>
          </w:tcPr>
          <w:p w14:paraId="79915501" w14:textId="77777777" w:rsidR="007067A0" w:rsidRDefault="00A337D9">
            <w:proofErr w:type="spellStart"/>
            <w:r>
              <w:rPr>
                <w:rFonts w:ascii="Arial" w:hAnsi="Arial" w:cs="Arial"/>
                <w:sz w:val="20"/>
                <w:szCs w:val="20"/>
              </w:rPr>
              <w:t>Cryptocurrency</w:t>
            </w:r>
            <w:proofErr w:type="spellEnd"/>
            <w:r>
              <w:rPr>
                <w:rFonts w:ascii="Arial" w:hAnsi="Arial" w:cs="Arial"/>
                <w:sz w:val="20"/>
                <w:szCs w:val="20"/>
              </w:rPr>
              <w:t xml:space="preserve"> </w:t>
            </w:r>
            <w:proofErr w:type="spellStart"/>
            <w:r>
              <w:rPr>
                <w:rFonts w:ascii="Arial" w:hAnsi="Arial" w:cs="Arial"/>
                <w:sz w:val="20"/>
                <w:szCs w:val="20"/>
              </w:rPr>
              <w:t>Statistics</w:t>
            </w:r>
            <w:proofErr w:type="spellEnd"/>
          </w:p>
        </w:tc>
      </w:tr>
      <w:tr w:rsidR="007067A0" w14:paraId="79915504" w14:textId="77777777">
        <w:trPr>
          <w:trHeight w:val="288"/>
        </w:trPr>
        <w:tc>
          <w:tcPr>
            <w:tcW w:w="7580" w:type="dxa"/>
            <w:tcBorders>
              <w:left w:val="single" w:sz="4" w:space="0" w:color="000000"/>
              <w:bottom w:val="single" w:sz="4" w:space="0" w:color="000000"/>
              <w:right w:val="single" w:sz="4" w:space="0" w:color="000000"/>
            </w:tcBorders>
            <w:noWrap/>
            <w:tcMar>
              <w:top w:w="0" w:type="dxa"/>
              <w:left w:w="70" w:type="dxa"/>
              <w:bottom w:w="0" w:type="dxa"/>
              <w:right w:w="70" w:type="dxa"/>
            </w:tcMar>
          </w:tcPr>
          <w:p w14:paraId="79915503" w14:textId="77777777" w:rsidR="007067A0" w:rsidRDefault="00A337D9">
            <w:r>
              <w:rPr>
                <w:rFonts w:ascii="Arial" w:hAnsi="Arial" w:cs="Arial"/>
                <w:sz w:val="20"/>
                <w:szCs w:val="20"/>
              </w:rPr>
              <w:t xml:space="preserve">United States </w:t>
            </w:r>
            <w:proofErr w:type="spellStart"/>
            <w:r>
              <w:rPr>
                <w:rFonts w:ascii="Arial" w:hAnsi="Arial" w:cs="Arial"/>
                <w:sz w:val="20"/>
                <w:szCs w:val="20"/>
              </w:rPr>
              <w:t>Geological</w:t>
            </w:r>
            <w:proofErr w:type="spellEnd"/>
            <w:r>
              <w:rPr>
                <w:rFonts w:ascii="Arial" w:hAnsi="Arial" w:cs="Arial"/>
                <w:sz w:val="20"/>
                <w:szCs w:val="20"/>
              </w:rPr>
              <w:t xml:space="preserve"> Survey</w:t>
            </w:r>
          </w:p>
        </w:tc>
      </w:tr>
      <w:tr w:rsidR="007067A0" w14:paraId="79915506" w14:textId="77777777">
        <w:trPr>
          <w:trHeight w:val="288"/>
        </w:trPr>
        <w:tc>
          <w:tcPr>
            <w:tcW w:w="7580" w:type="dxa"/>
            <w:tcBorders>
              <w:left w:val="single" w:sz="4" w:space="0" w:color="000000"/>
              <w:bottom w:val="single" w:sz="4" w:space="0" w:color="000000"/>
              <w:right w:val="single" w:sz="4" w:space="0" w:color="000000"/>
            </w:tcBorders>
            <w:noWrap/>
            <w:tcMar>
              <w:top w:w="0" w:type="dxa"/>
              <w:left w:w="70" w:type="dxa"/>
              <w:bottom w:w="0" w:type="dxa"/>
              <w:right w:w="70" w:type="dxa"/>
            </w:tcMar>
          </w:tcPr>
          <w:p w14:paraId="79915505" w14:textId="77777777" w:rsidR="007067A0" w:rsidRDefault="00A337D9">
            <w:r>
              <w:rPr>
                <w:rFonts w:ascii="Arial" w:hAnsi="Arial" w:cs="Arial"/>
                <w:sz w:val="20"/>
                <w:szCs w:val="20"/>
              </w:rPr>
              <w:t>Global Bond Indexes</w:t>
            </w:r>
          </w:p>
        </w:tc>
      </w:tr>
      <w:tr w:rsidR="007067A0" w14:paraId="79915508" w14:textId="77777777">
        <w:trPr>
          <w:trHeight w:val="288"/>
        </w:trPr>
        <w:tc>
          <w:tcPr>
            <w:tcW w:w="7580" w:type="dxa"/>
            <w:tcBorders>
              <w:left w:val="single" w:sz="4" w:space="0" w:color="000000"/>
              <w:bottom w:val="single" w:sz="4" w:space="0" w:color="000000"/>
              <w:right w:val="single" w:sz="4" w:space="0" w:color="000000"/>
            </w:tcBorders>
            <w:noWrap/>
            <w:tcMar>
              <w:top w:w="0" w:type="dxa"/>
              <w:left w:w="70" w:type="dxa"/>
              <w:bottom w:w="0" w:type="dxa"/>
              <w:right w:w="70" w:type="dxa"/>
            </w:tcMar>
          </w:tcPr>
          <w:p w14:paraId="79915507" w14:textId="77777777" w:rsidR="007067A0" w:rsidRDefault="00A337D9">
            <w:proofErr w:type="spellStart"/>
            <w:r>
              <w:rPr>
                <w:rFonts w:ascii="Arial" w:hAnsi="Arial" w:cs="Arial"/>
                <w:sz w:val="20"/>
                <w:szCs w:val="20"/>
              </w:rPr>
              <w:t>Ward's</w:t>
            </w:r>
            <w:proofErr w:type="spellEnd"/>
            <w:r>
              <w:rPr>
                <w:rFonts w:ascii="Arial" w:hAnsi="Arial" w:cs="Arial"/>
                <w:sz w:val="20"/>
                <w:szCs w:val="20"/>
              </w:rPr>
              <w:t xml:space="preserve"> Automotive Group</w:t>
            </w:r>
          </w:p>
        </w:tc>
      </w:tr>
      <w:tr w:rsidR="007067A0" w14:paraId="7991550A" w14:textId="77777777">
        <w:trPr>
          <w:trHeight w:val="288"/>
        </w:trPr>
        <w:tc>
          <w:tcPr>
            <w:tcW w:w="7580" w:type="dxa"/>
            <w:tcBorders>
              <w:left w:val="single" w:sz="4" w:space="0" w:color="000000"/>
              <w:bottom w:val="single" w:sz="4" w:space="0" w:color="000000"/>
              <w:right w:val="single" w:sz="4" w:space="0" w:color="000000"/>
            </w:tcBorders>
            <w:noWrap/>
            <w:tcMar>
              <w:top w:w="0" w:type="dxa"/>
              <w:left w:w="70" w:type="dxa"/>
              <w:bottom w:w="0" w:type="dxa"/>
              <w:right w:w="70" w:type="dxa"/>
            </w:tcMar>
          </w:tcPr>
          <w:p w14:paraId="79915509" w14:textId="77777777" w:rsidR="007067A0" w:rsidRDefault="00A337D9">
            <w:r>
              <w:rPr>
                <w:rFonts w:ascii="Arial" w:hAnsi="Arial" w:cs="Arial"/>
                <w:sz w:val="20"/>
                <w:szCs w:val="20"/>
              </w:rPr>
              <w:t xml:space="preserve">International </w:t>
            </w:r>
            <w:proofErr w:type="spellStart"/>
            <w:r>
              <w:rPr>
                <w:rFonts w:ascii="Arial" w:hAnsi="Arial" w:cs="Arial"/>
                <w:sz w:val="20"/>
                <w:szCs w:val="20"/>
              </w:rPr>
              <w:t>Summary</w:t>
            </w:r>
            <w:proofErr w:type="spellEnd"/>
          </w:p>
        </w:tc>
      </w:tr>
      <w:tr w:rsidR="007067A0" w14:paraId="7991550C" w14:textId="77777777">
        <w:trPr>
          <w:trHeight w:val="288"/>
        </w:trPr>
        <w:tc>
          <w:tcPr>
            <w:tcW w:w="7580" w:type="dxa"/>
            <w:tcBorders>
              <w:left w:val="single" w:sz="4" w:space="0" w:color="000000"/>
              <w:bottom w:val="single" w:sz="4" w:space="0" w:color="000000"/>
              <w:right w:val="single" w:sz="4" w:space="0" w:color="000000"/>
            </w:tcBorders>
            <w:noWrap/>
            <w:tcMar>
              <w:top w:w="0" w:type="dxa"/>
              <w:left w:w="70" w:type="dxa"/>
              <w:bottom w:w="0" w:type="dxa"/>
              <w:right w:w="70" w:type="dxa"/>
            </w:tcMar>
          </w:tcPr>
          <w:p w14:paraId="7991550B" w14:textId="77777777" w:rsidR="007067A0" w:rsidRDefault="00A337D9">
            <w:r>
              <w:rPr>
                <w:rFonts w:ascii="Arial" w:hAnsi="Arial" w:cs="Arial"/>
                <w:sz w:val="20"/>
                <w:szCs w:val="20"/>
              </w:rPr>
              <w:t>JODI Oil World</w:t>
            </w:r>
          </w:p>
        </w:tc>
      </w:tr>
      <w:tr w:rsidR="007067A0" w14:paraId="7991550E" w14:textId="77777777">
        <w:trPr>
          <w:trHeight w:val="288"/>
        </w:trPr>
        <w:tc>
          <w:tcPr>
            <w:tcW w:w="7580" w:type="dxa"/>
            <w:tcBorders>
              <w:left w:val="single" w:sz="4" w:space="0" w:color="000000"/>
              <w:bottom w:val="single" w:sz="4" w:space="0" w:color="000000"/>
              <w:right w:val="single" w:sz="4" w:space="0" w:color="000000"/>
            </w:tcBorders>
            <w:noWrap/>
            <w:tcMar>
              <w:top w:w="0" w:type="dxa"/>
              <w:left w:w="70" w:type="dxa"/>
              <w:bottom w:w="0" w:type="dxa"/>
              <w:right w:w="70" w:type="dxa"/>
            </w:tcMar>
          </w:tcPr>
          <w:p w14:paraId="7991550D" w14:textId="77777777" w:rsidR="007067A0" w:rsidRDefault="00A337D9">
            <w:r>
              <w:rPr>
                <w:rFonts w:ascii="Arial" w:hAnsi="Arial" w:cs="Arial"/>
                <w:sz w:val="20"/>
                <w:szCs w:val="20"/>
              </w:rPr>
              <w:t xml:space="preserve">China Trade </w:t>
            </w:r>
            <w:proofErr w:type="spellStart"/>
            <w:r>
              <w:rPr>
                <w:rFonts w:ascii="Arial" w:hAnsi="Arial" w:cs="Arial"/>
                <w:sz w:val="20"/>
                <w:szCs w:val="20"/>
              </w:rPr>
              <w:t>Detail</w:t>
            </w:r>
            <w:proofErr w:type="spellEnd"/>
          </w:p>
        </w:tc>
      </w:tr>
    </w:tbl>
    <w:p w14:paraId="7991550F" w14:textId="77777777" w:rsidR="007067A0" w:rsidRDefault="007067A0">
      <w:pPr>
        <w:spacing w:line="300" w:lineRule="atLeast"/>
        <w:rPr>
          <w:rFonts w:ascii="Arial" w:hAnsi="Arial" w:cs="Arial"/>
          <w:sz w:val="20"/>
          <w:szCs w:val="20"/>
        </w:rPr>
      </w:pPr>
    </w:p>
    <w:p w14:paraId="79915510" w14:textId="77777777" w:rsidR="007067A0" w:rsidRDefault="00A337D9">
      <w:pPr>
        <w:spacing w:line="300" w:lineRule="atLeast"/>
        <w:jc w:val="both"/>
      </w:pPr>
      <w:r>
        <w:rPr>
          <w:rFonts w:ascii="Arial" w:hAnsi="Arial" w:cs="Arial"/>
          <w:sz w:val="20"/>
          <w:szCs w:val="20"/>
        </w:rPr>
        <w:t>Al fine di soddisfare le esigenze della Direzione I e garantire una corretta alimentazione dei modelli statistici e macroeconomici, le seguenti funzionalità dei database devono essere considerate infungibili:</w:t>
      </w:r>
    </w:p>
    <w:p w14:paraId="79915511" w14:textId="77777777" w:rsidR="007067A0" w:rsidRDefault="00A337D9">
      <w:pPr>
        <w:pStyle w:val="NormaleWeb"/>
        <w:numPr>
          <w:ilvl w:val="0"/>
          <w:numId w:val="4"/>
        </w:numPr>
        <w:spacing w:before="120" w:after="0" w:line="360" w:lineRule="auto"/>
        <w:jc w:val="both"/>
      </w:pPr>
      <w:r>
        <w:rPr>
          <w:rFonts w:ascii="Arial" w:hAnsi="Arial" w:cs="Arial"/>
          <w:sz w:val="20"/>
          <w:szCs w:val="20"/>
          <w:u w:val="single"/>
        </w:rPr>
        <w:t>disporre di un ventaglio completo di dati macroeconomici, finanziari e settoriali</w:t>
      </w:r>
      <w:r>
        <w:rPr>
          <w:rFonts w:ascii="Arial" w:hAnsi="Arial" w:cs="Arial"/>
          <w:sz w:val="20"/>
          <w:szCs w:val="20"/>
        </w:rPr>
        <w:t xml:space="preserve"> per analizzare l’economia a 360 gradi. La Direzione deve poter accedere a dati affidabili per tutti questi ambiti allo scopo di alimentare i modelli previsivi e le analisi di policy. A causa dei recenti fenomeni legati alle politiche protezionistiche adottate dal governo USA, </w:t>
      </w:r>
      <w:r>
        <w:rPr>
          <w:rFonts w:ascii="Arial" w:hAnsi="Arial" w:cs="Arial"/>
          <w:sz w:val="20"/>
          <w:szCs w:val="20"/>
        </w:rPr>
        <w:lastRenderedPageBreak/>
        <w:t>all’andamento dei mercati delle commodities e in generale all’incertezza dello scenario geopolitico mondiale, le analisi condotte abitualmente dal DT per il Direttore Generale del Tesoro e per il Governo, in merito all’andamento dell’economia italiana, con particolare riferimento a quelle congiunturali e di nowcasting che hanno frequenza settimanale o mensile, necessitano della disponibilità di banche dati macroeconomiche e finanziarie con una elevata granularità e flessibilità;</w:t>
      </w:r>
    </w:p>
    <w:p w14:paraId="79915512" w14:textId="4309990E" w:rsidR="007067A0" w:rsidRDefault="00A337D9">
      <w:pPr>
        <w:pStyle w:val="NormaleWeb"/>
        <w:numPr>
          <w:ilvl w:val="0"/>
          <w:numId w:val="4"/>
        </w:numPr>
        <w:spacing w:before="120" w:after="0" w:line="360" w:lineRule="auto"/>
        <w:jc w:val="both"/>
      </w:pPr>
      <w:r>
        <w:rPr>
          <w:rFonts w:ascii="Arial" w:hAnsi="Arial" w:cs="Arial"/>
          <w:sz w:val="20"/>
          <w:szCs w:val="20"/>
          <w:u w:val="single"/>
        </w:rPr>
        <w:t>copertura geografica globale e profond</w:t>
      </w:r>
      <w:r w:rsidR="007E73B0">
        <w:rPr>
          <w:rFonts w:ascii="Arial" w:hAnsi="Arial" w:cs="Arial"/>
          <w:sz w:val="20"/>
          <w:szCs w:val="20"/>
          <w:u w:val="single"/>
        </w:rPr>
        <w:t>ità di</w:t>
      </w:r>
      <w:r>
        <w:rPr>
          <w:rFonts w:ascii="Arial" w:hAnsi="Arial" w:cs="Arial"/>
          <w:sz w:val="20"/>
          <w:szCs w:val="20"/>
          <w:u w:val="single"/>
        </w:rPr>
        <w:t xml:space="preserve"> serie storiche,</w:t>
      </w:r>
      <w:r>
        <w:rPr>
          <w:rFonts w:ascii="Arial" w:hAnsi="Arial" w:cs="Arial"/>
          <w:sz w:val="20"/>
          <w:szCs w:val="20"/>
        </w:rPr>
        <w:t xml:space="preserve"> che consenta alla stessa Direzione di analizzare il contesto internazionale, fare confronti, condurre analisi comparative (ad es. confrontare inflazione italiana vs Eurozona vs USA attingendo allo stesso sistema) e di esplorare indicatori particolari quando richiesto (es. prezzi di materie prime hi-tech, serie storiche demografiche, indici di disuguaglianza, ecc.). Inoltre, sono necessarie lunghe serie storiche per studiare le tendenze di lungo periodo e calibrare i modelli (es. stimare relazioni econometriche affidabili). Dati retrospettivi ampi, infatti, permettono di cogliere cicli economici passati (crisi, boom) e di condurre analisi storiche;</w:t>
      </w:r>
    </w:p>
    <w:p w14:paraId="79915513" w14:textId="77777777" w:rsidR="007067A0" w:rsidRDefault="00A337D9">
      <w:pPr>
        <w:pStyle w:val="NormaleWeb"/>
        <w:numPr>
          <w:ilvl w:val="0"/>
          <w:numId w:val="4"/>
        </w:numPr>
        <w:spacing w:before="120" w:after="0" w:line="360" w:lineRule="auto"/>
        <w:jc w:val="both"/>
      </w:pPr>
      <w:r>
        <w:rPr>
          <w:rFonts w:ascii="Arial" w:hAnsi="Arial" w:cs="Arial"/>
          <w:sz w:val="20"/>
          <w:szCs w:val="20"/>
          <w:u w:val="single"/>
        </w:rPr>
        <w:t>ottenere dati aggiornati con la massima tempestività</w:t>
      </w:r>
      <w:r>
        <w:rPr>
          <w:rFonts w:ascii="Arial" w:hAnsi="Arial" w:cs="Arial"/>
          <w:sz w:val="20"/>
          <w:szCs w:val="20"/>
        </w:rPr>
        <w:t>, specialmente per indicatori ad alta frequenza (mensili, settimanali, giornalieri) e per rispondere rapidamente a richieste urgenti. Nella preparazione di documenti ufficiali vi sono precise “</w:t>
      </w:r>
      <w:proofErr w:type="spellStart"/>
      <w:r>
        <w:rPr>
          <w:rFonts w:ascii="Arial" w:hAnsi="Arial" w:cs="Arial"/>
          <w:i/>
          <w:iCs/>
          <w:sz w:val="20"/>
          <w:szCs w:val="20"/>
        </w:rPr>
        <w:t>cut</w:t>
      </w:r>
      <w:proofErr w:type="spellEnd"/>
      <w:r>
        <w:rPr>
          <w:rFonts w:ascii="Arial" w:hAnsi="Arial" w:cs="Arial"/>
          <w:i/>
          <w:iCs/>
          <w:sz w:val="20"/>
          <w:szCs w:val="20"/>
        </w:rPr>
        <w:t xml:space="preserve">-off </w:t>
      </w:r>
      <w:proofErr w:type="spellStart"/>
      <w:r>
        <w:rPr>
          <w:rFonts w:ascii="Arial" w:hAnsi="Arial" w:cs="Arial"/>
          <w:i/>
          <w:iCs/>
          <w:sz w:val="20"/>
          <w:szCs w:val="20"/>
        </w:rPr>
        <w:t>dates</w:t>
      </w:r>
      <w:proofErr w:type="spellEnd"/>
      <w:r>
        <w:rPr>
          <w:rFonts w:ascii="Arial" w:hAnsi="Arial" w:cs="Arial"/>
          <w:sz w:val="20"/>
          <w:szCs w:val="20"/>
        </w:rPr>
        <w:t>” entro cui includere gli ultimi dati disponibili. La Direzione deve quindi poter accedere ai nuovi dati praticamente in tempo reale (ad es. il giorno stesso del rilascio di un dato ISTAT o Eurostat) e aggiornare di pari passo report e modelli;</w:t>
      </w:r>
    </w:p>
    <w:p w14:paraId="79915514" w14:textId="47209A58" w:rsidR="007067A0" w:rsidRDefault="00A337D9">
      <w:pPr>
        <w:pStyle w:val="NormaleWeb"/>
        <w:numPr>
          <w:ilvl w:val="0"/>
          <w:numId w:val="4"/>
        </w:numPr>
        <w:spacing w:before="120" w:after="0" w:line="360" w:lineRule="auto"/>
        <w:jc w:val="both"/>
      </w:pPr>
      <w:r>
        <w:rPr>
          <w:rFonts w:ascii="Arial" w:hAnsi="Arial" w:cs="Arial"/>
          <w:sz w:val="20"/>
          <w:szCs w:val="20"/>
          <w:u w:val="single"/>
        </w:rPr>
        <w:t>integrare l’uso delle banche dati nel flusso di lavoro quotidiano</w:t>
      </w:r>
      <w:r>
        <w:rPr>
          <w:rFonts w:ascii="Arial" w:hAnsi="Arial" w:cs="Arial"/>
          <w:sz w:val="20"/>
          <w:szCs w:val="20"/>
        </w:rPr>
        <w:t>: i dati provengono da diverse fonti (a volte con diversa "frequenza") e devono essere integrati tramite programmi di elaborazione (</w:t>
      </w:r>
      <w:proofErr w:type="spellStart"/>
      <w:r>
        <w:rPr>
          <w:rFonts w:ascii="Arial" w:hAnsi="Arial" w:cs="Arial"/>
          <w:sz w:val="20"/>
          <w:szCs w:val="20"/>
        </w:rPr>
        <w:t>Databanking</w:t>
      </w:r>
      <w:proofErr w:type="spellEnd"/>
      <w:r>
        <w:rPr>
          <w:rFonts w:ascii="Arial" w:hAnsi="Arial" w:cs="Arial"/>
          <w:sz w:val="20"/>
          <w:szCs w:val="20"/>
        </w:rPr>
        <w:t xml:space="preserve">). Gli economisti della Direzione I utilizzano software econometrici (es. </w:t>
      </w:r>
      <w:proofErr w:type="spellStart"/>
      <w:r>
        <w:rPr>
          <w:rFonts w:ascii="Arial" w:hAnsi="Arial" w:cs="Arial"/>
          <w:sz w:val="20"/>
          <w:szCs w:val="20"/>
        </w:rPr>
        <w:t>EViews</w:t>
      </w:r>
      <w:proofErr w:type="spellEnd"/>
      <w:r>
        <w:rPr>
          <w:rFonts w:ascii="Arial" w:hAnsi="Arial" w:cs="Arial"/>
          <w:sz w:val="20"/>
          <w:szCs w:val="20"/>
        </w:rPr>
        <w:t xml:space="preserve">, MATLAB, </w:t>
      </w:r>
      <w:r w:rsidR="007E73B0">
        <w:rPr>
          <w:rFonts w:ascii="Arial" w:hAnsi="Arial" w:cs="Arial"/>
          <w:sz w:val="20"/>
          <w:szCs w:val="20"/>
        </w:rPr>
        <w:t>Stata</w:t>
      </w:r>
      <w:r>
        <w:rPr>
          <w:rFonts w:ascii="Arial" w:hAnsi="Arial" w:cs="Arial"/>
          <w:sz w:val="20"/>
          <w:szCs w:val="20"/>
        </w:rPr>
        <w:t xml:space="preserve">), linguaggi come R/Python per analisi speciali, e strumenti di reportistica. È importante che i dati dalle banche dati possano essere facilmente importati in questi ambienti, per evitare operazioni manuali soggette a errori. </w:t>
      </w:r>
      <w:proofErr w:type="gramStart"/>
      <w:r>
        <w:rPr>
          <w:rFonts w:ascii="Arial" w:hAnsi="Arial" w:cs="Arial"/>
          <w:sz w:val="20"/>
          <w:szCs w:val="20"/>
        </w:rPr>
        <w:t>Inoltre</w:t>
      </w:r>
      <w:proofErr w:type="gramEnd"/>
      <w:r>
        <w:rPr>
          <w:rFonts w:ascii="Arial" w:hAnsi="Arial" w:cs="Arial"/>
          <w:sz w:val="20"/>
          <w:szCs w:val="20"/>
        </w:rPr>
        <w:t xml:space="preserve"> serve poter automatizzare aggiornamenti (script che ogni giorno scaricano certi indicatori) e condividere dati tra colleghi.</w:t>
      </w:r>
    </w:p>
    <w:p w14:paraId="79915515" w14:textId="77777777" w:rsidR="007067A0" w:rsidRDefault="00A337D9">
      <w:pPr>
        <w:pStyle w:val="NormaleWeb"/>
        <w:numPr>
          <w:ilvl w:val="0"/>
          <w:numId w:val="4"/>
        </w:numPr>
        <w:spacing w:before="120" w:after="0" w:line="360" w:lineRule="auto"/>
        <w:jc w:val="both"/>
      </w:pPr>
      <w:r>
        <w:rPr>
          <w:rFonts w:ascii="Arial" w:hAnsi="Arial" w:cs="Arial"/>
          <w:sz w:val="20"/>
          <w:szCs w:val="20"/>
          <w:u w:val="single"/>
        </w:rPr>
        <w:t>disporre di dati che siano adatti all’uso modellistico e all’analisi quantitativa</w:t>
      </w:r>
      <w:r>
        <w:rPr>
          <w:rFonts w:ascii="Arial" w:hAnsi="Arial" w:cs="Arial"/>
          <w:sz w:val="20"/>
          <w:szCs w:val="20"/>
        </w:rPr>
        <w:t>: ciò significa serie continue e coerenti (anche quando cambiano le basi o le metodologie), dati storici sufficientemente lunghi per stimare modelli econometrici, e anche serie di previsioni esterne per confronti. Inoltre, quando si fanno analisi di scenario, servono dati di partenza granulari (es. dettaglio per paese, per settore) per simulare shock specifici. Infine, è utile poter accedere a stime di consenso o previsioni di altri enti per avere benchmark.</w:t>
      </w:r>
    </w:p>
    <w:p w14:paraId="79915516" w14:textId="77777777" w:rsidR="007067A0" w:rsidRDefault="007067A0">
      <w:pPr>
        <w:pStyle w:val="NormaleWeb"/>
        <w:spacing w:before="120" w:after="0" w:line="360" w:lineRule="auto"/>
        <w:jc w:val="both"/>
        <w:rPr>
          <w:rFonts w:ascii="Arial" w:hAnsi="Arial" w:cs="Arial"/>
          <w:sz w:val="20"/>
          <w:szCs w:val="20"/>
        </w:rPr>
      </w:pPr>
    </w:p>
    <w:p w14:paraId="79915517" w14:textId="77777777" w:rsidR="007067A0" w:rsidRDefault="00A337D9">
      <w:pPr>
        <w:pStyle w:val="Titolo1"/>
      </w:pPr>
      <w:r>
        <w:t>Domande</w:t>
      </w:r>
    </w:p>
    <w:p w14:paraId="79915518" w14:textId="77777777" w:rsidR="007067A0" w:rsidRDefault="00A337D9">
      <w:pPr>
        <w:numPr>
          <w:ilvl w:val="0"/>
          <w:numId w:val="5"/>
        </w:numPr>
        <w:tabs>
          <w:tab w:val="left" w:pos="360"/>
        </w:tabs>
        <w:spacing w:after="120" w:line="276" w:lineRule="auto"/>
        <w:ind w:left="357" w:hanging="357"/>
        <w:jc w:val="both"/>
      </w:pPr>
      <w:r>
        <w:rPr>
          <w:rFonts w:ascii="Arial" w:hAnsi="Arial" w:cs="Arial"/>
          <w:sz w:val="20"/>
          <w:szCs w:val="20"/>
        </w:rPr>
        <w:t xml:space="preserve">Riportare una breve descrizione dell’azienda, indicando la tipologia (piccola, media, grande), i settori di attività, il </w:t>
      </w:r>
      <w:r>
        <w:rPr>
          <w:rFonts w:ascii="Arial" w:hAnsi="Arial" w:cs="Arial"/>
          <w:i/>
          <w:sz w:val="20"/>
          <w:szCs w:val="20"/>
        </w:rPr>
        <w:t>core business</w:t>
      </w:r>
      <w:r>
        <w:rPr>
          <w:rFonts w:ascii="Arial" w:hAnsi="Arial" w:cs="Arial"/>
          <w:sz w:val="20"/>
          <w:szCs w:val="20"/>
        </w:rPr>
        <w:t>, il numero di dipendenti.</w:t>
      </w:r>
    </w:p>
    <w:tbl>
      <w:tblPr>
        <w:tblW w:w="8494" w:type="dxa"/>
        <w:tblCellMar>
          <w:left w:w="10" w:type="dxa"/>
          <w:right w:w="10" w:type="dxa"/>
        </w:tblCellMar>
        <w:tblLook w:val="04A0" w:firstRow="1" w:lastRow="0" w:firstColumn="1" w:lastColumn="0" w:noHBand="0" w:noVBand="1"/>
      </w:tblPr>
      <w:tblGrid>
        <w:gridCol w:w="8494"/>
      </w:tblGrid>
      <w:tr w:rsidR="007067A0" w14:paraId="7991551A" w14:textId="77777777">
        <w:trPr>
          <w:trHeight w:val="1824"/>
        </w:trPr>
        <w:tc>
          <w:tcPr>
            <w:tcW w:w="8494" w:type="dxa"/>
            <w:tcBorders>
              <w:top w:val="single" w:sz="4" w:space="0" w:color="1F497D"/>
              <w:left w:val="single" w:sz="4" w:space="0" w:color="1F497D"/>
              <w:bottom w:val="single" w:sz="4" w:space="0" w:color="1F497D"/>
              <w:right w:val="single" w:sz="4" w:space="0" w:color="1F497D"/>
            </w:tcBorders>
            <w:shd w:val="clear" w:color="auto" w:fill="F2F2F2"/>
            <w:tcMar>
              <w:top w:w="0" w:type="dxa"/>
              <w:left w:w="108" w:type="dxa"/>
              <w:bottom w:w="0" w:type="dxa"/>
              <w:right w:w="108" w:type="dxa"/>
            </w:tcMar>
          </w:tcPr>
          <w:p w14:paraId="79915519" w14:textId="77777777" w:rsidR="007067A0" w:rsidRDefault="007067A0">
            <w:pPr>
              <w:jc w:val="both"/>
              <w:rPr>
                <w:rFonts w:ascii="Arial" w:hAnsi="Arial" w:cs="Arial"/>
                <w:bCs/>
                <w:sz w:val="20"/>
                <w:szCs w:val="20"/>
              </w:rPr>
            </w:pPr>
          </w:p>
        </w:tc>
      </w:tr>
    </w:tbl>
    <w:p w14:paraId="7991551B" w14:textId="77777777" w:rsidR="007067A0" w:rsidRDefault="007067A0">
      <w:pPr>
        <w:spacing w:line="360" w:lineRule="auto"/>
        <w:jc w:val="both"/>
        <w:rPr>
          <w:rFonts w:ascii="Arial" w:hAnsi="Arial" w:cs="Arial"/>
          <w:sz w:val="20"/>
          <w:szCs w:val="20"/>
        </w:rPr>
      </w:pPr>
    </w:p>
    <w:p w14:paraId="7991551C" w14:textId="77777777" w:rsidR="007067A0" w:rsidRDefault="00A337D9">
      <w:pPr>
        <w:numPr>
          <w:ilvl w:val="0"/>
          <w:numId w:val="5"/>
        </w:numPr>
        <w:tabs>
          <w:tab w:val="left" w:pos="360"/>
        </w:tabs>
        <w:spacing w:after="120" w:line="276" w:lineRule="auto"/>
        <w:ind w:left="357" w:hanging="357"/>
        <w:jc w:val="both"/>
        <w:rPr>
          <w:rFonts w:ascii="Arial" w:hAnsi="Arial" w:cs="Arial"/>
          <w:sz w:val="20"/>
          <w:szCs w:val="20"/>
        </w:rPr>
      </w:pPr>
      <w:r>
        <w:rPr>
          <w:rFonts w:ascii="Arial" w:hAnsi="Arial" w:cs="Arial"/>
          <w:sz w:val="20"/>
          <w:szCs w:val="20"/>
        </w:rPr>
        <w:t>In relazione a quanto compreso nell’oggetto dell’iniziativa (vedi paragrafo 2), indicare qual è il fatturato annuo medio realizzato dall’Azienda nell’ultimo biennio sia nel mercato italiano sia nello specifico mercato della Pubblica Amministrazione?</w:t>
      </w:r>
    </w:p>
    <w:tbl>
      <w:tblPr>
        <w:tblW w:w="8494" w:type="dxa"/>
        <w:tblCellMar>
          <w:left w:w="10" w:type="dxa"/>
          <w:right w:w="10" w:type="dxa"/>
        </w:tblCellMar>
        <w:tblLook w:val="04A0" w:firstRow="1" w:lastRow="0" w:firstColumn="1" w:lastColumn="0" w:noHBand="0" w:noVBand="1"/>
      </w:tblPr>
      <w:tblGrid>
        <w:gridCol w:w="8494"/>
      </w:tblGrid>
      <w:tr w:rsidR="007067A0" w14:paraId="7991551E" w14:textId="77777777">
        <w:trPr>
          <w:trHeight w:val="1824"/>
        </w:trPr>
        <w:tc>
          <w:tcPr>
            <w:tcW w:w="8494" w:type="dxa"/>
            <w:tcBorders>
              <w:top w:val="single" w:sz="4" w:space="0" w:color="1F497D"/>
              <w:left w:val="single" w:sz="4" w:space="0" w:color="1F497D"/>
              <w:bottom w:val="single" w:sz="4" w:space="0" w:color="1F497D"/>
              <w:right w:val="single" w:sz="4" w:space="0" w:color="1F497D"/>
            </w:tcBorders>
            <w:shd w:val="clear" w:color="auto" w:fill="F2F2F2"/>
            <w:tcMar>
              <w:top w:w="0" w:type="dxa"/>
              <w:left w:w="108" w:type="dxa"/>
              <w:bottom w:w="0" w:type="dxa"/>
              <w:right w:w="108" w:type="dxa"/>
            </w:tcMar>
          </w:tcPr>
          <w:p w14:paraId="7991551D" w14:textId="77777777" w:rsidR="007067A0" w:rsidRDefault="007067A0">
            <w:pPr>
              <w:jc w:val="both"/>
              <w:rPr>
                <w:rFonts w:ascii="Arial" w:hAnsi="Arial" w:cs="Arial"/>
                <w:bCs/>
                <w:sz w:val="20"/>
                <w:szCs w:val="20"/>
              </w:rPr>
            </w:pPr>
          </w:p>
        </w:tc>
      </w:tr>
    </w:tbl>
    <w:p w14:paraId="7991551F" w14:textId="77777777" w:rsidR="007067A0" w:rsidRDefault="007067A0">
      <w:pPr>
        <w:spacing w:line="360" w:lineRule="auto"/>
        <w:jc w:val="both"/>
        <w:rPr>
          <w:rFonts w:ascii="Arial" w:hAnsi="Arial" w:cs="Arial"/>
          <w:sz w:val="20"/>
          <w:szCs w:val="20"/>
        </w:rPr>
      </w:pPr>
    </w:p>
    <w:p w14:paraId="79915520" w14:textId="77777777" w:rsidR="007067A0" w:rsidRDefault="00A337D9">
      <w:pPr>
        <w:numPr>
          <w:ilvl w:val="0"/>
          <w:numId w:val="5"/>
        </w:numPr>
        <w:tabs>
          <w:tab w:val="left" w:pos="360"/>
        </w:tabs>
        <w:spacing w:after="120" w:line="276" w:lineRule="auto"/>
        <w:ind w:left="357" w:hanging="357"/>
        <w:jc w:val="both"/>
        <w:rPr>
          <w:rFonts w:ascii="Arial" w:hAnsi="Arial" w:cs="Arial"/>
          <w:sz w:val="20"/>
          <w:szCs w:val="20"/>
        </w:rPr>
      </w:pPr>
      <w:r>
        <w:rPr>
          <w:rFonts w:ascii="Arial" w:hAnsi="Arial" w:cs="Arial"/>
          <w:sz w:val="20"/>
          <w:szCs w:val="20"/>
        </w:rPr>
        <w:t xml:space="preserve">In relazione a quanto compreso nell’oggetto dell’iniziativa (vedi paragrafo 2), descrivere le politiche commerciali, (vendita diretta, distributori, retail ecc.). </w:t>
      </w:r>
    </w:p>
    <w:tbl>
      <w:tblPr>
        <w:tblW w:w="8494" w:type="dxa"/>
        <w:tblCellMar>
          <w:left w:w="10" w:type="dxa"/>
          <w:right w:w="10" w:type="dxa"/>
        </w:tblCellMar>
        <w:tblLook w:val="04A0" w:firstRow="1" w:lastRow="0" w:firstColumn="1" w:lastColumn="0" w:noHBand="0" w:noVBand="1"/>
      </w:tblPr>
      <w:tblGrid>
        <w:gridCol w:w="8494"/>
      </w:tblGrid>
      <w:tr w:rsidR="007067A0" w14:paraId="79915522" w14:textId="77777777">
        <w:trPr>
          <w:trHeight w:val="1824"/>
        </w:trPr>
        <w:tc>
          <w:tcPr>
            <w:tcW w:w="8494" w:type="dxa"/>
            <w:tcBorders>
              <w:top w:val="single" w:sz="4" w:space="0" w:color="1F497D"/>
              <w:left w:val="single" w:sz="4" w:space="0" w:color="1F497D"/>
              <w:bottom w:val="single" w:sz="4" w:space="0" w:color="1F497D"/>
              <w:right w:val="single" w:sz="4" w:space="0" w:color="1F497D"/>
            </w:tcBorders>
            <w:shd w:val="clear" w:color="auto" w:fill="F2F2F2"/>
            <w:tcMar>
              <w:top w:w="0" w:type="dxa"/>
              <w:left w:w="108" w:type="dxa"/>
              <w:bottom w:w="0" w:type="dxa"/>
              <w:right w:w="108" w:type="dxa"/>
            </w:tcMar>
          </w:tcPr>
          <w:p w14:paraId="79915521" w14:textId="77777777" w:rsidR="007067A0" w:rsidRDefault="007067A0">
            <w:pPr>
              <w:jc w:val="both"/>
              <w:rPr>
                <w:rFonts w:ascii="Arial" w:hAnsi="Arial" w:cs="Arial"/>
                <w:bCs/>
                <w:sz w:val="20"/>
                <w:szCs w:val="20"/>
              </w:rPr>
            </w:pPr>
          </w:p>
        </w:tc>
      </w:tr>
    </w:tbl>
    <w:p w14:paraId="79915523" w14:textId="77777777" w:rsidR="007067A0" w:rsidRDefault="007067A0">
      <w:pPr>
        <w:spacing w:line="360" w:lineRule="auto"/>
        <w:jc w:val="both"/>
        <w:rPr>
          <w:rFonts w:ascii="Arial" w:hAnsi="Arial" w:cs="Arial"/>
          <w:sz w:val="20"/>
          <w:szCs w:val="20"/>
        </w:rPr>
      </w:pPr>
    </w:p>
    <w:p w14:paraId="79915524" w14:textId="77777777" w:rsidR="007067A0" w:rsidRDefault="00A337D9">
      <w:pPr>
        <w:numPr>
          <w:ilvl w:val="0"/>
          <w:numId w:val="5"/>
        </w:numPr>
        <w:tabs>
          <w:tab w:val="left" w:pos="360"/>
        </w:tabs>
        <w:spacing w:after="120" w:line="276" w:lineRule="auto"/>
        <w:ind w:left="357" w:hanging="357"/>
        <w:jc w:val="both"/>
        <w:rPr>
          <w:rFonts w:ascii="Arial" w:hAnsi="Arial" w:cs="Arial"/>
          <w:sz w:val="20"/>
          <w:szCs w:val="20"/>
        </w:rPr>
      </w:pPr>
      <w:r>
        <w:rPr>
          <w:rFonts w:ascii="Arial" w:hAnsi="Arial" w:cs="Arial"/>
          <w:sz w:val="20"/>
          <w:szCs w:val="20"/>
        </w:rPr>
        <w:t>Specificare se l’oggetto dell’iniziativa (vedi paragrafo 2), nella modalità indicata, rientra nelle attività di fornitura della vostra azienda. Se sì, specificare se in virtù di diritti esclusivi, accordi commerciali o altro.</w:t>
      </w:r>
    </w:p>
    <w:tbl>
      <w:tblPr>
        <w:tblW w:w="8494" w:type="dxa"/>
        <w:tblCellMar>
          <w:left w:w="10" w:type="dxa"/>
          <w:right w:w="10" w:type="dxa"/>
        </w:tblCellMar>
        <w:tblLook w:val="04A0" w:firstRow="1" w:lastRow="0" w:firstColumn="1" w:lastColumn="0" w:noHBand="0" w:noVBand="1"/>
      </w:tblPr>
      <w:tblGrid>
        <w:gridCol w:w="8494"/>
      </w:tblGrid>
      <w:tr w:rsidR="007067A0" w14:paraId="79915526" w14:textId="77777777">
        <w:trPr>
          <w:trHeight w:val="1824"/>
        </w:trPr>
        <w:tc>
          <w:tcPr>
            <w:tcW w:w="8494" w:type="dxa"/>
            <w:tcBorders>
              <w:top w:val="single" w:sz="4" w:space="0" w:color="1F497D"/>
              <w:left w:val="single" w:sz="4" w:space="0" w:color="1F497D"/>
              <w:bottom w:val="single" w:sz="4" w:space="0" w:color="1F497D"/>
              <w:right w:val="single" w:sz="4" w:space="0" w:color="1F497D"/>
            </w:tcBorders>
            <w:shd w:val="clear" w:color="auto" w:fill="F2F2F2"/>
            <w:tcMar>
              <w:top w:w="0" w:type="dxa"/>
              <w:left w:w="108" w:type="dxa"/>
              <w:bottom w:w="0" w:type="dxa"/>
              <w:right w:w="108" w:type="dxa"/>
            </w:tcMar>
          </w:tcPr>
          <w:p w14:paraId="79915525" w14:textId="77777777" w:rsidR="007067A0" w:rsidRDefault="007067A0">
            <w:pPr>
              <w:jc w:val="both"/>
              <w:rPr>
                <w:rFonts w:ascii="Arial" w:hAnsi="Arial" w:cs="Arial"/>
                <w:bCs/>
                <w:sz w:val="20"/>
                <w:szCs w:val="20"/>
              </w:rPr>
            </w:pPr>
          </w:p>
        </w:tc>
      </w:tr>
    </w:tbl>
    <w:p w14:paraId="79915527" w14:textId="77777777" w:rsidR="007067A0" w:rsidRDefault="007067A0">
      <w:pPr>
        <w:jc w:val="both"/>
        <w:rPr>
          <w:rFonts w:ascii="Arial" w:hAnsi="Arial" w:cs="Arial"/>
          <w:sz w:val="20"/>
          <w:szCs w:val="20"/>
        </w:rPr>
      </w:pPr>
    </w:p>
    <w:p w14:paraId="79915528" w14:textId="77777777" w:rsidR="007067A0" w:rsidRDefault="00A337D9">
      <w:pPr>
        <w:numPr>
          <w:ilvl w:val="0"/>
          <w:numId w:val="5"/>
        </w:numPr>
        <w:tabs>
          <w:tab w:val="left" w:pos="360"/>
        </w:tabs>
        <w:spacing w:after="120" w:line="276" w:lineRule="auto"/>
        <w:ind w:left="357" w:hanging="357"/>
        <w:jc w:val="both"/>
        <w:rPr>
          <w:rFonts w:ascii="Arial" w:hAnsi="Arial" w:cs="Arial"/>
          <w:sz w:val="20"/>
          <w:szCs w:val="20"/>
        </w:rPr>
      </w:pPr>
      <w:r>
        <w:rPr>
          <w:rFonts w:ascii="Arial" w:hAnsi="Arial" w:cs="Arial"/>
          <w:sz w:val="20"/>
          <w:szCs w:val="20"/>
        </w:rPr>
        <w:tab/>
        <w:t xml:space="preserve">A vostro avviso quali Certificazioni Aziendali rilasciate da Organismi Nazionali/Internazionali/Società Terze sono necessarie o opzionali per eseguire le prestazioni indicate nel paragrafo “Oggetto dell’iniziativa”? Quali certificazioni possiede la vostra Azienda? In particolare, la Vostra azienda è in possesso di certificazioni di qualità (es. ISO 9001 o similari)? Se </w:t>
      </w:r>
      <w:proofErr w:type="gramStart"/>
      <w:r>
        <w:rPr>
          <w:rFonts w:ascii="Arial" w:hAnsi="Arial" w:cs="Arial"/>
          <w:sz w:val="20"/>
          <w:szCs w:val="20"/>
        </w:rPr>
        <w:t>si</w:t>
      </w:r>
      <w:proofErr w:type="gramEnd"/>
      <w:r>
        <w:rPr>
          <w:rFonts w:ascii="Arial" w:hAnsi="Arial" w:cs="Arial"/>
          <w:sz w:val="20"/>
          <w:szCs w:val="20"/>
        </w:rPr>
        <w:t>, a quali processi/attività fanno riferimento?</w:t>
      </w:r>
    </w:p>
    <w:tbl>
      <w:tblPr>
        <w:tblW w:w="8494" w:type="dxa"/>
        <w:tblCellMar>
          <w:left w:w="10" w:type="dxa"/>
          <w:right w:w="10" w:type="dxa"/>
        </w:tblCellMar>
        <w:tblLook w:val="04A0" w:firstRow="1" w:lastRow="0" w:firstColumn="1" w:lastColumn="0" w:noHBand="0" w:noVBand="1"/>
      </w:tblPr>
      <w:tblGrid>
        <w:gridCol w:w="8494"/>
      </w:tblGrid>
      <w:tr w:rsidR="007067A0" w14:paraId="7991552A" w14:textId="77777777">
        <w:trPr>
          <w:trHeight w:val="1824"/>
        </w:trPr>
        <w:tc>
          <w:tcPr>
            <w:tcW w:w="8494" w:type="dxa"/>
            <w:tcBorders>
              <w:top w:val="single" w:sz="4" w:space="0" w:color="1F497D"/>
              <w:left w:val="single" w:sz="4" w:space="0" w:color="1F497D"/>
              <w:bottom w:val="single" w:sz="4" w:space="0" w:color="1F497D"/>
              <w:right w:val="single" w:sz="4" w:space="0" w:color="1F497D"/>
            </w:tcBorders>
            <w:shd w:val="clear" w:color="auto" w:fill="F2F2F2"/>
            <w:tcMar>
              <w:top w:w="0" w:type="dxa"/>
              <w:left w:w="108" w:type="dxa"/>
              <w:bottom w:w="0" w:type="dxa"/>
              <w:right w:w="108" w:type="dxa"/>
            </w:tcMar>
          </w:tcPr>
          <w:p w14:paraId="79915529" w14:textId="77777777" w:rsidR="007067A0" w:rsidRDefault="007067A0">
            <w:pPr>
              <w:jc w:val="both"/>
              <w:rPr>
                <w:rFonts w:ascii="Arial" w:hAnsi="Arial" w:cs="Arial"/>
                <w:bCs/>
                <w:sz w:val="20"/>
                <w:szCs w:val="20"/>
              </w:rPr>
            </w:pPr>
          </w:p>
        </w:tc>
      </w:tr>
    </w:tbl>
    <w:p w14:paraId="79915532" w14:textId="77777777" w:rsidR="007067A0" w:rsidRDefault="007067A0">
      <w:pPr>
        <w:jc w:val="both"/>
        <w:rPr>
          <w:rFonts w:ascii="Arial" w:hAnsi="Arial" w:cs="Arial"/>
          <w:sz w:val="20"/>
          <w:szCs w:val="20"/>
        </w:rPr>
      </w:pPr>
    </w:p>
    <w:p w14:paraId="79915533" w14:textId="77777777" w:rsidR="007067A0" w:rsidRDefault="00A337D9">
      <w:pPr>
        <w:pStyle w:val="Paragrafoelenco"/>
        <w:numPr>
          <w:ilvl w:val="0"/>
          <w:numId w:val="5"/>
        </w:numPr>
        <w:tabs>
          <w:tab w:val="left" w:pos="360"/>
        </w:tabs>
        <w:spacing w:line="276" w:lineRule="auto"/>
        <w:ind w:left="357" w:hanging="357"/>
        <w:jc w:val="both"/>
        <w:rPr>
          <w:rFonts w:ascii="Arial" w:hAnsi="Arial" w:cs="Arial"/>
          <w:sz w:val="20"/>
          <w:szCs w:val="20"/>
        </w:rPr>
      </w:pPr>
      <w:r>
        <w:rPr>
          <w:rFonts w:ascii="Arial" w:hAnsi="Arial" w:cs="Arial"/>
          <w:sz w:val="20"/>
          <w:szCs w:val="20"/>
        </w:rPr>
        <w:t>Descrivere eventuali elementi della vostra offerta tali da rendervi leader del mercato o interlocutore unico per i servizi indicati nel paragrafo 2 “Oggetto dell’iniziativa” in confronto a quanto proposto dai vostri diretti competitor. Si chiede di fornire indicazioni di dettaglio su quali siano tali elementi caratterizzanti.</w:t>
      </w:r>
    </w:p>
    <w:tbl>
      <w:tblPr>
        <w:tblW w:w="8494" w:type="dxa"/>
        <w:tblCellMar>
          <w:left w:w="10" w:type="dxa"/>
          <w:right w:w="10" w:type="dxa"/>
        </w:tblCellMar>
        <w:tblLook w:val="04A0" w:firstRow="1" w:lastRow="0" w:firstColumn="1" w:lastColumn="0" w:noHBand="0" w:noVBand="1"/>
      </w:tblPr>
      <w:tblGrid>
        <w:gridCol w:w="8494"/>
      </w:tblGrid>
      <w:tr w:rsidR="007067A0" w14:paraId="79915535" w14:textId="77777777">
        <w:trPr>
          <w:trHeight w:val="1824"/>
        </w:trPr>
        <w:tc>
          <w:tcPr>
            <w:tcW w:w="8494" w:type="dxa"/>
            <w:tcBorders>
              <w:top w:val="single" w:sz="4" w:space="0" w:color="1F497D"/>
              <w:left w:val="single" w:sz="4" w:space="0" w:color="1F497D"/>
              <w:bottom w:val="single" w:sz="4" w:space="0" w:color="1F497D"/>
              <w:right w:val="single" w:sz="4" w:space="0" w:color="1F497D"/>
            </w:tcBorders>
            <w:shd w:val="clear" w:color="auto" w:fill="F2F2F2"/>
            <w:tcMar>
              <w:top w:w="0" w:type="dxa"/>
              <w:left w:w="108" w:type="dxa"/>
              <w:bottom w:w="0" w:type="dxa"/>
              <w:right w:w="108" w:type="dxa"/>
            </w:tcMar>
          </w:tcPr>
          <w:p w14:paraId="79915534" w14:textId="77777777" w:rsidR="007067A0" w:rsidRDefault="007067A0">
            <w:pPr>
              <w:jc w:val="both"/>
              <w:rPr>
                <w:rFonts w:ascii="Calibri" w:hAnsi="Calibri" w:cs="Arial"/>
                <w:bCs/>
                <w:sz w:val="20"/>
                <w:szCs w:val="20"/>
              </w:rPr>
            </w:pPr>
          </w:p>
        </w:tc>
      </w:tr>
    </w:tbl>
    <w:p w14:paraId="79915536" w14:textId="77777777" w:rsidR="007067A0" w:rsidRDefault="007067A0">
      <w:pPr>
        <w:jc w:val="both"/>
        <w:rPr>
          <w:rFonts w:ascii="Arial" w:hAnsi="Arial" w:cs="Arial"/>
          <w:sz w:val="20"/>
          <w:szCs w:val="20"/>
        </w:rPr>
      </w:pPr>
    </w:p>
    <w:p w14:paraId="79915537" w14:textId="77777777" w:rsidR="007067A0" w:rsidRDefault="00A337D9">
      <w:pPr>
        <w:pStyle w:val="Paragrafoelenco"/>
        <w:numPr>
          <w:ilvl w:val="0"/>
          <w:numId w:val="5"/>
        </w:numPr>
        <w:tabs>
          <w:tab w:val="left" w:pos="360"/>
        </w:tabs>
        <w:spacing w:line="276" w:lineRule="auto"/>
        <w:ind w:left="357" w:hanging="357"/>
        <w:jc w:val="both"/>
        <w:rPr>
          <w:rFonts w:ascii="Arial" w:hAnsi="Arial" w:cs="Arial"/>
          <w:sz w:val="20"/>
          <w:szCs w:val="20"/>
        </w:rPr>
      </w:pPr>
      <w:r>
        <w:rPr>
          <w:rFonts w:ascii="Arial" w:hAnsi="Arial" w:cs="Arial"/>
          <w:sz w:val="20"/>
          <w:szCs w:val="20"/>
        </w:rPr>
        <w:t xml:space="preserve">Si chiede di evidenziare il contenuto innovativo della Vostra offerta in merito alla merceologia oggetto di indagine. Vi invitiamo ad indicare la presenza di nuovi prodotti o nuove soluzioni o nuovi servizi disponibili per eseguire le prestazioni oggetto dell’iniziativa con alto contenuto innovativo e forte impatto in termini di efficacia ed efficienza della soluzione proposta, di vantaggio o riduzione di impatti ambientali o sociali rivolti ai propri dipendenti, ai clienti o alla collettività. </w:t>
      </w:r>
    </w:p>
    <w:tbl>
      <w:tblPr>
        <w:tblW w:w="8494" w:type="dxa"/>
        <w:tblCellMar>
          <w:left w:w="10" w:type="dxa"/>
          <w:right w:w="10" w:type="dxa"/>
        </w:tblCellMar>
        <w:tblLook w:val="04A0" w:firstRow="1" w:lastRow="0" w:firstColumn="1" w:lastColumn="0" w:noHBand="0" w:noVBand="1"/>
      </w:tblPr>
      <w:tblGrid>
        <w:gridCol w:w="8494"/>
      </w:tblGrid>
      <w:tr w:rsidR="007067A0" w14:paraId="79915539" w14:textId="77777777">
        <w:trPr>
          <w:trHeight w:val="1106"/>
        </w:trPr>
        <w:tc>
          <w:tcPr>
            <w:tcW w:w="8494" w:type="dxa"/>
            <w:tcBorders>
              <w:top w:val="single" w:sz="4" w:space="0" w:color="1F497D"/>
              <w:left w:val="single" w:sz="4" w:space="0" w:color="1F497D"/>
              <w:bottom w:val="single" w:sz="4" w:space="0" w:color="1F497D"/>
              <w:right w:val="single" w:sz="4" w:space="0" w:color="1F497D"/>
            </w:tcBorders>
            <w:shd w:val="clear" w:color="auto" w:fill="F2F2F2"/>
            <w:tcMar>
              <w:top w:w="0" w:type="dxa"/>
              <w:left w:w="108" w:type="dxa"/>
              <w:bottom w:w="0" w:type="dxa"/>
              <w:right w:w="108" w:type="dxa"/>
            </w:tcMar>
          </w:tcPr>
          <w:p w14:paraId="79915538" w14:textId="77777777" w:rsidR="007067A0" w:rsidRDefault="007067A0">
            <w:pPr>
              <w:jc w:val="both"/>
              <w:rPr>
                <w:rFonts w:ascii="Arial" w:hAnsi="Arial" w:cs="Arial"/>
                <w:bCs/>
                <w:sz w:val="20"/>
                <w:szCs w:val="20"/>
              </w:rPr>
            </w:pPr>
          </w:p>
        </w:tc>
      </w:tr>
    </w:tbl>
    <w:p w14:paraId="7991553A" w14:textId="77777777" w:rsidR="007067A0" w:rsidRDefault="007067A0">
      <w:pPr>
        <w:rPr>
          <w:rFonts w:ascii="Arial" w:hAnsi="Arial" w:cs="Arial"/>
          <w:bCs/>
          <w:color w:val="0070C0"/>
          <w:sz w:val="20"/>
          <w:szCs w:val="20"/>
        </w:rPr>
      </w:pPr>
    </w:p>
    <w:p w14:paraId="7991553B" w14:textId="77777777" w:rsidR="007067A0" w:rsidRDefault="00A337D9">
      <w:pPr>
        <w:pStyle w:val="Paragrafoelenco"/>
        <w:numPr>
          <w:ilvl w:val="0"/>
          <w:numId w:val="5"/>
        </w:numPr>
      </w:pPr>
      <w:r>
        <w:rPr>
          <w:rFonts w:ascii="Arial" w:hAnsi="Arial" w:cs="Arial"/>
          <w:iCs/>
          <w:color w:val="000000"/>
          <w:sz w:val="20"/>
        </w:rPr>
        <w:tab/>
      </w:r>
      <w:r>
        <w:rPr>
          <w:rFonts w:ascii="Arial" w:hAnsi="Arial" w:cs="Arial"/>
          <w:sz w:val="20"/>
          <w:szCs w:val="20"/>
        </w:rPr>
        <w:t>Si chiede di indicare le modalità di fruizione dei servizi indicati nel paragrafo 2 “Oggetto dell’iniziativa”. Si chiede inoltre di dichiarare l’ubicazione da cui vengono erogati i servizi.</w:t>
      </w:r>
    </w:p>
    <w:tbl>
      <w:tblPr>
        <w:tblW w:w="8494" w:type="dxa"/>
        <w:tblCellMar>
          <w:left w:w="10" w:type="dxa"/>
          <w:right w:w="10" w:type="dxa"/>
        </w:tblCellMar>
        <w:tblLook w:val="04A0" w:firstRow="1" w:lastRow="0" w:firstColumn="1" w:lastColumn="0" w:noHBand="0" w:noVBand="1"/>
      </w:tblPr>
      <w:tblGrid>
        <w:gridCol w:w="8494"/>
      </w:tblGrid>
      <w:tr w:rsidR="007067A0" w14:paraId="7991553D" w14:textId="77777777">
        <w:trPr>
          <w:trHeight w:val="1106"/>
        </w:trPr>
        <w:tc>
          <w:tcPr>
            <w:tcW w:w="8494" w:type="dxa"/>
            <w:tcBorders>
              <w:top w:val="single" w:sz="4" w:space="0" w:color="1F497D"/>
              <w:left w:val="single" w:sz="4" w:space="0" w:color="1F497D"/>
              <w:bottom w:val="single" w:sz="4" w:space="0" w:color="1F497D"/>
              <w:right w:val="single" w:sz="4" w:space="0" w:color="1F497D"/>
            </w:tcBorders>
            <w:shd w:val="clear" w:color="auto" w:fill="F2F2F2"/>
            <w:tcMar>
              <w:top w:w="0" w:type="dxa"/>
              <w:left w:w="108" w:type="dxa"/>
              <w:bottom w:w="0" w:type="dxa"/>
              <w:right w:w="108" w:type="dxa"/>
            </w:tcMar>
          </w:tcPr>
          <w:p w14:paraId="7991553C" w14:textId="77777777" w:rsidR="007067A0" w:rsidRDefault="007067A0">
            <w:pPr>
              <w:jc w:val="both"/>
              <w:rPr>
                <w:rFonts w:ascii="Arial" w:hAnsi="Arial" w:cs="Arial"/>
                <w:bCs/>
                <w:sz w:val="20"/>
                <w:szCs w:val="20"/>
              </w:rPr>
            </w:pPr>
          </w:p>
        </w:tc>
      </w:tr>
    </w:tbl>
    <w:p w14:paraId="7991553E" w14:textId="77777777" w:rsidR="007067A0" w:rsidRDefault="007067A0">
      <w:pPr>
        <w:spacing w:line="360" w:lineRule="auto"/>
        <w:ind w:left="-76"/>
        <w:jc w:val="both"/>
        <w:rPr>
          <w:rFonts w:ascii="Arial" w:hAnsi="Arial" w:cs="Arial"/>
          <w:iCs/>
          <w:color w:val="000000"/>
          <w:sz w:val="20"/>
        </w:rPr>
      </w:pPr>
    </w:p>
    <w:p w14:paraId="7991553F" w14:textId="77777777" w:rsidR="007067A0" w:rsidRDefault="00A337D9">
      <w:pPr>
        <w:pStyle w:val="Paragrafoelenco"/>
        <w:numPr>
          <w:ilvl w:val="0"/>
          <w:numId w:val="5"/>
        </w:numPr>
        <w:jc w:val="both"/>
      </w:pPr>
      <w:r>
        <w:rPr>
          <w:rFonts w:ascii="Arial" w:hAnsi="Arial" w:cs="Arial"/>
          <w:sz w:val="20"/>
          <w:szCs w:val="20"/>
        </w:rPr>
        <w:t>Relativamente all’oggetto dell’iniziativa, la vostra azienda garantisce la disponibilità delle informazioni ritenute infungibili da Sogei di cui al paragrafo 2.</w:t>
      </w:r>
    </w:p>
    <w:tbl>
      <w:tblPr>
        <w:tblW w:w="8494" w:type="dxa"/>
        <w:tblCellMar>
          <w:left w:w="10" w:type="dxa"/>
          <w:right w:w="10" w:type="dxa"/>
        </w:tblCellMar>
        <w:tblLook w:val="04A0" w:firstRow="1" w:lastRow="0" w:firstColumn="1" w:lastColumn="0" w:noHBand="0" w:noVBand="1"/>
      </w:tblPr>
      <w:tblGrid>
        <w:gridCol w:w="8494"/>
      </w:tblGrid>
      <w:tr w:rsidR="007067A0" w14:paraId="79915541" w14:textId="77777777">
        <w:trPr>
          <w:trHeight w:val="1106"/>
        </w:trPr>
        <w:tc>
          <w:tcPr>
            <w:tcW w:w="8494" w:type="dxa"/>
            <w:tcBorders>
              <w:top w:val="single" w:sz="4" w:space="0" w:color="1F497D"/>
              <w:left w:val="single" w:sz="4" w:space="0" w:color="1F497D"/>
              <w:bottom w:val="single" w:sz="4" w:space="0" w:color="1F497D"/>
              <w:right w:val="single" w:sz="4" w:space="0" w:color="1F497D"/>
            </w:tcBorders>
            <w:shd w:val="clear" w:color="auto" w:fill="F2F2F2"/>
            <w:tcMar>
              <w:top w:w="0" w:type="dxa"/>
              <w:left w:w="108" w:type="dxa"/>
              <w:bottom w:w="0" w:type="dxa"/>
              <w:right w:w="108" w:type="dxa"/>
            </w:tcMar>
          </w:tcPr>
          <w:p w14:paraId="79915540" w14:textId="77777777" w:rsidR="007067A0" w:rsidRDefault="007067A0">
            <w:pPr>
              <w:jc w:val="both"/>
              <w:rPr>
                <w:rFonts w:ascii="Arial" w:hAnsi="Arial" w:cs="Arial"/>
                <w:bCs/>
                <w:sz w:val="20"/>
                <w:szCs w:val="20"/>
              </w:rPr>
            </w:pPr>
          </w:p>
        </w:tc>
      </w:tr>
    </w:tbl>
    <w:p w14:paraId="79915542" w14:textId="77777777" w:rsidR="007067A0" w:rsidRDefault="007067A0">
      <w:pPr>
        <w:spacing w:line="360" w:lineRule="auto"/>
        <w:ind w:left="-76"/>
        <w:jc w:val="both"/>
        <w:rPr>
          <w:rFonts w:ascii="Arial" w:hAnsi="Arial" w:cs="Arial"/>
          <w:iCs/>
          <w:color w:val="000000"/>
          <w:sz w:val="20"/>
        </w:rPr>
      </w:pPr>
    </w:p>
    <w:p w14:paraId="79915543" w14:textId="77777777" w:rsidR="007067A0" w:rsidRDefault="00A337D9">
      <w:pPr>
        <w:pStyle w:val="Paragrafoelenco"/>
        <w:numPr>
          <w:ilvl w:val="0"/>
          <w:numId w:val="5"/>
        </w:numPr>
        <w:jc w:val="both"/>
        <w:rPr>
          <w:rFonts w:ascii="Arial" w:hAnsi="Arial" w:cs="Arial"/>
          <w:sz w:val="20"/>
          <w:szCs w:val="20"/>
        </w:rPr>
      </w:pPr>
      <w:r>
        <w:rPr>
          <w:rFonts w:ascii="Arial" w:hAnsi="Arial" w:cs="Arial"/>
          <w:sz w:val="20"/>
          <w:szCs w:val="20"/>
        </w:rPr>
        <w:t>Si chiede di descrivere brevemente le categorie dei database oggetto dell’iniziativa in riferimento a: dati economici nazionali, copertura geografica, dati finanziari e di mercato, dati settoriali e industriali. Tali database sono una vostra esclusività?</w:t>
      </w:r>
    </w:p>
    <w:tbl>
      <w:tblPr>
        <w:tblW w:w="8494" w:type="dxa"/>
        <w:tblCellMar>
          <w:left w:w="10" w:type="dxa"/>
          <w:right w:w="10" w:type="dxa"/>
        </w:tblCellMar>
        <w:tblLook w:val="04A0" w:firstRow="1" w:lastRow="0" w:firstColumn="1" w:lastColumn="0" w:noHBand="0" w:noVBand="1"/>
      </w:tblPr>
      <w:tblGrid>
        <w:gridCol w:w="8494"/>
      </w:tblGrid>
      <w:tr w:rsidR="007067A0" w14:paraId="79915545" w14:textId="77777777">
        <w:trPr>
          <w:trHeight w:val="1106"/>
        </w:trPr>
        <w:tc>
          <w:tcPr>
            <w:tcW w:w="8494" w:type="dxa"/>
            <w:tcBorders>
              <w:top w:val="single" w:sz="4" w:space="0" w:color="1F497D"/>
              <w:left w:val="single" w:sz="4" w:space="0" w:color="1F497D"/>
              <w:bottom w:val="single" w:sz="4" w:space="0" w:color="1F497D"/>
              <w:right w:val="single" w:sz="4" w:space="0" w:color="1F497D"/>
            </w:tcBorders>
            <w:shd w:val="clear" w:color="auto" w:fill="F2F2F2"/>
            <w:tcMar>
              <w:top w:w="0" w:type="dxa"/>
              <w:left w:w="108" w:type="dxa"/>
              <w:bottom w:w="0" w:type="dxa"/>
              <w:right w:w="108" w:type="dxa"/>
            </w:tcMar>
          </w:tcPr>
          <w:p w14:paraId="79915544" w14:textId="77777777" w:rsidR="007067A0" w:rsidRDefault="007067A0">
            <w:pPr>
              <w:jc w:val="both"/>
              <w:rPr>
                <w:rFonts w:ascii="Arial" w:hAnsi="Arial" w:cs="Arial"/>
                <w:bCs/>
                <w:sz w:val="20"/>
                <w:szCs w:val="20"/>
              </w:rPr>
            </w:pPr>
          </w:p>
        </w:tc>
      </w:tr>
    </w:tbl>
    <w:p w14:paraId="79915546" w14:textId="77777777" w:rsidR="007067A0" w:rsidRDefault="007067A0">
      <w:pPr>
        <w:spacing w:line="360" w:lineRule="auto"/>
        <w:ind w:left="-76"/>
        <w:jc w:val="both"/>
        <w:rPr>
          <w:rFonts w:ascii="Arial" w:hAnsi="Arial" w:cs="Arial"/>
          <w:iCs/>
          <w:color w:val="000000"/>
          <w:sz w:val="20"/>
        </w:rPr>
      </w:pPr>
    </w:p>
    <w:p w14:paraId="79915547" w14:textId="77777777" w:rsidR="007067A0" w:rsidRDefault="00A337D9">
      <w:pPr>
        <w:pStyle w:val="Paragrafoelenco"/>
        <w:numPr>
          <w:ilvl w:val="0"/>
          <w:numId w:val="5"/>
        </w:numPr>
        <w:jc w:val="both"/>
        <w:rPr>
          <w:rFonts w:ascii="Arial" w:hAnsi="Arial" w:cs="Arial"/>
          <w:sz w:val="20"/>
          <w:szCs w:val="20"/>
        </w:rPr>
      </w:pPr>
      <w:r>
        <w:rPr>
          <w:rFonts w:ascii="Arial" w:hAnsi="Arial" w:cs="Arial"/>
          <w:sz w:val="20"/>
          <w:szCs w:val="20"/>
        </w:rPr>
        <w:t>Nelle banche dati elencate nel paragrafo 2 sono contenuti i dati su features sul gas indispensabili all’aggiornamento delle variabili esogene internazionali nei modelli econometrici del DT? Se sì indicare in quale database sono presenti i dati richiesti e se tale database è una vostra esclusività.</w:t>
      </w:r>
    </w:p>
    <w:tbl>
      <w:tblPr>
        <w:tblW w:w="8494" w:type="dxa"/>
        <w:tblCellMar>
          <w:left w:w="10" w:type="dxa"/>
          <w:right w:w="10" w:type="dxa"/>
        </w:tblCellMar>
        <w:tblLook w:val="04A0" w:firstRow="1" w:lastRow="0" w:firstColumn="1" w:lastColumn="0" w:noHBand="0" w:noVBand="1"/>
      </w:tblPr>
      <w:tblGrid>
        <w:gridCol w:w="8494"/>
      </w:tblGrid>
      <w:tr w:rsidR="007067A0" w14:paraId="79915549" w14:textId="77777777">
        <w:trPr>
          <w:trHeight w:val="1106"/>
        </w:trPr>
        <w:tc>
          <w:tcPr>
            <w:tcW w:w="8494" w:type="dxa"/>
            <w:tcBorders>
              <w:top w:val="single" w:sz="4" w:space="0" w:color="1F497D"/>
              <w:left w:val="single" w:sz="4" w:space="0" w:color="1F497D"/>
              <w:bottom w:val="single" w:sz="4" w:space="0" w:color="1F497D"/>
              <w:right w:val="single" w:sz="4" w:space="0" w:color="1F497D"/>
            </w:tcBorders>
            <w:shd w:val="clear" w:color="auto" w:fill="F2F2F2"/>
            <w:tcMar>
              <w:top w:w="0" w:type="dxa"/>
              <w:left w:w="108" w:type="dxa"/>
              <w:bottom w:w="0" w:type="dxa"/>
              <w:right w:w="108" w:type="dxa"/>
            </w:tcMar>
          </w:tcPr>
          <w:p w14:paraId="79915548" w14:textId="77777777" w:rsidR="007067A0" w:rsidRDefault="007067A0">
            <w:pPr>
              <w:jc w:val="both"/>
              <w:rPr>
                <w:rFonts w:ascii="Arial" w:hAnsi="Arial" w:cs="Arial"/>
                <w:bCs/>
                <w:sz w:val="20"/>
                <w:szCs w:val="20"/>
              </w:rPr>
            </w:pPr>
          </w:p>
        </w:tc>
      </w:tr>
    </w:tbl>
    <w:p w14:paraId="7991554A" w14:textId="77777777" w:rsidR="007067A0" w:rsidRDefault="007067A0">
      <w:pPr>
        <w:spacing w:line="360" w:lineRule="auto"/>
        <w:ind w:left="-76"/>
        <w:jc w:val="both"/>
        <w:rPr>
          <w:rFonts w:ascii="Arial" w:hAnsi="Arial" w:cs="Arial"/>
          <w:iCs/>
          <w:color w:val="000000"/>
          <w:sz w:val="20"/>
        </w:rPr>
      </w:pPr>
    </w:p>
    <w:p w14:paraId="7991554B" w14:textId="77777777" w:rsidR="007067A0" w:rsidRDefault="00A337D9">
      <w:pPr>
        <w:pStyle w:val="Paragrafoelenco"/>
        <w:numPr>
          <w:ilvl w:val="0"/>
          <w:numId w:val="5"/>
        </w:numPr>
        <w:jc w:val="both"/>
        <w:rPr>
          <w:rFonts w:ascii="Arial" w:hAnsi="Arial" w:cs="Arial"/>
          <w:sz w:val="20"/>
          <w:szCs w:val="20"/>
        </w:rPr>
      </w:pPr>
      <w:r>
        <w:rPr>
          <w:rFonts w:ascii="Arial" w:hAnsi="Arial" w:cs="Arial"/>
          <w:sz w:val="20"/>
          <w:szCs w:val="20"/>
        </w:rPr>
        <w:t>Si chiede di descrivere brevemente le caratteristiche dei database con previsioni macroeconomiche e survey. Indicare inoltre se tali caratteristiche sono una vostra esclusività.</w:t>
      </w:r>
    </w:p>
    <w:tbl>
      <w:tblPr>
        <w:tblW w:w="8494" w:type="dxa"/>
        <w:tblCellMar>
          <w:left w:w="10" w:type="dxa"/>
          <w:right w:w="10" w:type="dxa"/>
        </w:tblCellMar>
        <w:tblLook w:val="04A0" w:firstRow="1" w:lastRow="0" w:firstColumn="1" w:lastColumn="0" w:noHBand="0" w:noVBand="1"/>
      </w:tblPr>
      <w:tblGrid>
        <w:gridCol w:w="8494"/>
      </w:tblGrid>
      <w:tr w:rsidR="007067A0" w14:paraId="7991554D" w14:textId="77777777">
        <w:trPr>
          <w:trHeight w:val="1106"/>
        </w:trPr>
        <w:tc>
          <w:tcPr>
            <w:tcW w:w="8494" w:type="dxa"/>
            <w:tcBorders>
              <w:top w:val="single" w:sz="4" w:space="0" w:color="1F497D"/>
              <w:left w:val="single" w:sz="4" w:space="0" w:color="1F497D"/>
              <w:bottom w:val="single" w:sz="4" w:space="0" w:color="1F497D"/>
              <w:right w:val="single" w:sz="4" w:space="0" w:color="1F497D"/>
            </w:tcBorders>
            <w:shd w:val="clear" w:color="auto" w:fill="F2F2F2"/>
            <w:tcMar>
              <w:top w:w="0" w:type="dxa"/>
              <w:left w:w="108" w:type="dxa"/>
              <w:bottom w:w="0" w:type="dxa"/>
              <w:right w:w="108" w:type="dxa"/>
            </w:tcMar>
          </w:tcPr>
          <w:p w14:paraId="7991554C" w14:textId="77777777" w:rsidR="007067A0" w:rsidRDefault="007067A0">
            <w:pPr>
              <w:jc w:val="both"/>
              <w:rPr>
                <w:rFonts w:ascii="Arial" w:hAnsi="Arial" w:cs="Arial"/>
                <w:bCs/>
                <w:sz w:val="20"/>
                <w:szCs w:val="20"/>
              </w:rPr>
            </w:pPr>
          </w:p>
        </w:tc>
      </w:tr>
    </w:tbl>
    <w:p w14:paraId="7991554E" w14:textId="77777777" w:rsidR="007067A0" w:rsidRDefault="007067A0">
      <w:pPr>
        <w:spacing w:line="360" w:lineRule="auto"/>
        <w:ind w:left="-76"/>
        <w:jc w:val="both"/>
        <w:rPr>
          <w:rFonts w:ascii="Arial" w:hAnsi="Arial" w:cs="Arial"/>
          <w:iCs/>
          <w:color w:val="000000"/>
          <w:sz w:val="20"/>
        </w:rPr>
      </w:pPr>
    </w:p>
    <w:p w14:paraId="7991554F" w14:textId="77777777" w:rsidR="007067A0" w:rsidRDefault="00A337D9">
      <w:pPr>
        <w:pStyle w:val="Paragrafoelenco"/>
        <w:numPr>
          <w:ilvl w:val="0"/>
          <w:numId w:val="5"/>
        </w:numPr>
        <w:jc w:val="both"/>
        <w:rPr>
          <w:rFonts w:ascii="Arial" w:hAnsi="Arial" w:cs="Arial"/>
          <w:sz w:val="20"/>
          <w:szCs w:val="20"/>
        </w:rPr>
      </w:pPr>
      <w:r>
        <w:rPr>
          <w:rFonts w:ascii="Arial" w:hAnsi="Arial" w:cs="Arial"/>
          <w:sz w:val="20"/>
          <w:szCs w:val="20"/>
        </w:rPr>
        <w:t>Si chiede di descrivere brevemente le caratteristiche dei database dei dati archiviati cosiddetti “</w:t>
      </w:r>
      <w:proofErr w:type="spellStart"/>
      <w:r>
        <w:rPr>
          <w:rFonts w:ascii="Arial" w:hAnsi="Arial" w:cs="Arial"/>
          <w:sz w:val="20"/>
          <w:szCs w:val="20"/>
        </w:rPr>
        <w:t>as</w:t>
      </w:r>
      <w:proofErr w:type="spellEnd"/>
      <w:r>
        <w:rPr>
          <w:rFonts w:ascii="Arial" w:hAnsi="Arial" w:cs="Arial"/>
          <w:sz w:val="20"/>
          <w:szCs w:val="20"/>
        </w:rPr>
        <w:t xml:space="preserve"> </w:t>
      </w:r>
      <w:proofErr w:type="spellStart"/>
      <w:r>
        <w:rPr>
          <w:rFonts w:ascii="Arial" w:hAnsi="Arial" w:cs="Arial"/>
          <w:sz w:val="20"/>
          <w:szCs w:val="20"/>
        </w:rPr>
        <w:t>reported</w:t>
      </w:r>
      <w:proofErr w:type="spellEnd"/>
      <w:r>
        <w:rPr>
          <w:rFonts w:ascii="Arial" w:hAnsi="Arial" w:cs="Arial"/>
          <w:sz w:val="20"/>
          <w:szCs w:val="20"/>
        </w:rPr>
        <w:t>”. Indicare inoltre se tali caratteristiche sono una vostra esclusività.</w:t>
      </w:r>
    </w:p>
    <w:tbl>
      <w:tblPr>
        <w:tblW w:w="8494" w:type="dxa"/>
        <w:tblCellMar>
          <w:left w:w="10" w:type="dxa"/>
          <w:right w:w="10" w:type="dxa"/>
        </w:tblCellMar>
        <w:tblLook w:val="04A0" w:firstRow="1" w:lastRow="0" w:firstColumn="1" w:lastColumn="0" w:noHBand="0" w:noVBand="1"/>
      </w:tblPr>
      <w:tblGrid>
        <w:gridCol w:w="8494"/>
      </w:tblGrid>
      <w:tr w:rsidR="007067A0" w14:paraId="79915551" w14:textId="77777777">
        <w:trPr>
          <w:trHeight w:val="1106"/>
        </w:trPr>
        <w:tc>
          <w:tcPr>
            <w:tcW w:w="8494" w:type="dxa"/>
            <w:tcBorders>
              <w:top w:val="single" w:sz="4" w:space="0" w:color="1F497D"/>
              <w:left w:val="single" w:sz="4" w:space="0" w:color="1F497D"/>
              <w:bottom w:val="single" w:sz="4" w:space="0" w:color="1F497D"/>
              <w:right w:val="single" w:sz="4" w:space="0" w:color="1F497D"/>
            </w:tcBorders>
            <w:shd w:val="clear" w:color="auto" w:fill="F2F2F2"/>
            <w:tcMar>
              <w:top w:w="0" w:type="dxa"/>
              <w:left w:w="108" w:type="dxa"/>
              <w:bottom w:w="0" w:type="dxa"/>
              <w:right w:w="108" w:type="dxa"/>
            </w:tcMar>
          </w:tcPr>
          <w:p w14:paraId="79915550" w14:textId="77777777" w:rsidR="007067A0" w:rsidRDefault="007067A0">
            <w:pPr>
              <w:jc w:val="both"/>
              <w:rPr>
                <w:rFonts w:ascii="Arial" w:hAnsi="Arial" w:cs="Arial"/>
                <w:bCs/>
                <w:sz w:val="20"/>
                <w:szCs w:val="20"/>
              </w:rPr>
            </w:pPr>
          </w:p>
        </w:tc>
      </w:tr>
    </w:tbl>
    <w:p w14:paraId="79915552" w14:textId="77777777" w:rsidR="007067A0" w:rsidRDefault="007067A0">
      <w:pPr>
        <w:spacing w:line="360" w:lineRule="auto"/>
        <w:ind w:left="-76"/>
        <w:jc w:val="both"/>
        <w:rPr>
          <w:rFonts w:ascii="Arial" w:hAnsi="Arial" w:cs="Arial"/>
          <w:iCs/>
          <w:color w:val="000000"/>
          <w:sz w:val="20"/>
        </w:rPr>
      </w:pPr>
    </w:p>
    <w:p w14:paraId="79915553" w14:textId="77777777" w:rsidR="007067A0" w:rsidRDefault="00A337D9">
      <w:pPr>
        <w:pStyle w:val="Paragrafoelenco"/>
        <w:numPr>
          <w:ilvl w:val="0"/>
          <w:numId w:val="5"/>
        </w:numPr>
        <w:jc w:val="both"/>
        <w:rPr>
          <w:rFonts w:ascii="Arial" w:hAnsi="Arial" w:cs="Arial"/>
          <w:sz w:val="20"/>
          <w:szCs w:val="20"/>
        </w:rPr>
      </w:pPr>
      <w:r>
        <w:rPr>
          <w:rFonts w:ascii="Arial" w:hAnsi="Arial" w:cs="Arial"/>
          <w:sz w:val="20"/>
          <w:szCs w:val="20"/>
        </w:rPr>
        <w:t>Si chiede di descrivere brevemente le modalità di aggiornamento dei database oggetto dell’iniziativa di cui al paragrafo 2. Indicare inoltre se tali modalità sono una vostra esclusività.</w:t>
      </w:r>
    </w:p>
    <w:tbl>
      <w:tblPr>
        <w:tblW w:w="8494" w:type="dxa"/>
        <w:tblCellMar>
          <w:left w:w="10" w:type="dxa"/>
          <w:right w:w="10" w:type="dxa"/>
        </w:tblCellMar>
        <w:tblLook w:val="04A0" w:firstRow="1" w:lastRow="0" w:firstColumn="1" w:lastColumn="0" w:noHBand="0" w:noVBand="1"/>
      </w:tblPr>
      <w:tblGrid>
        <w:gridCol w:w="8494"/>
      </w:tblGrid>
      <w:tr w:rsidR="007067A0" w14:paraId="79915555" w14:textId="77777777">
        <w:trPr>
          <w:trHeight w:val="1106"/>
        </w:trPr>
        <w:tc>
          <w:tcPr>
            <w:tcW w:w="8494" w:type="dxa"/>
            <w:tcBorders>
              <w:top w:val="single" w:sz="4" w:space="0" w:color="1F497D"/>
              <w:left w:val="single" w:sz="4" w:space="0" w:color="1F497D"/>
              <w:bottom w:val="single" w:sz="4" w:space="0" w:color="1F497D"/>
              <w:right w:val="single" w:sz="4" w:space="0" w:color="1F497D"/>
            </w:tcBorders>
            <w:shd w:val="clear" w:color="auto" w:fill="F2F2F2"/>
            <w:tcMar>
              <w:top w:w="0" w:type="dxa"/>
              <w:left w:w="108" w:type="dxa"/>
              <w:bottom w:w="0" w:type="dxa"/>
              <w:right w:w="108" w:type="dxa"/>
            </w:tcMar>
          </w:tcPr>
          <w:p w14:paraId="79915554" w14:textId="77777777" w:rsidR="007067A0" w:rsidRDefault="007067A0">
            <w:pPr>
              <w:jc w:val="both"/>
              <w:rPr>
                <w:rFonts w:ascii="Arial" w:hAnsi="Arial" w:cs="Arial"/>
                <w:bCs/>
                <w:sz w:val="20"/>
                <w:szCs w:val="20"/>
              </w:rPr>
            </w:pPr>
          </w:p>
        </w:tc>
      </w:tr>
    </w:tbl>
    <w:p w14:paraId="79915556" w14:textId="77777777" w:rsidR="007067A0" w:rsidRDefault="007067A0">
      <w:pPr>
        <w:spacing w:line="360" w:lineRule="auto"/>
        <w:ind w:left="-76"/>
        <w:jc w:val="both"/>
        <w:rPr>
          <w:rFonts w:ascii="Arial" w:hAnsi="Arial" w:cs="Arial"/>
          <w:iCs/>
          <w:color w:val="000000"/>
          <w:sz w:val="20"/>
        </w:rPr>
      </w:pPr>
    </w:p>
    <w:p w14:paraId="79915557" w14:textId="77777777" w:rsidR="007067A0" w:rsidRDefault="00A337D9">
      <w:pPr>
        <w:pStyle w:val="Paragrafoelenco"/>
        <w:numPr>
          <w:ilvl w:val="0"/>
          <w:numId w:val="5"/>
        </w:numPr>
        <w:jc w:val="both"/>
        <w:rPr>
          <w:rFonts w:ascii="Arial" w:hAnsi="Arial" w:cs="Arial"/>
          <w:sz w:val="20"/>
          <w:szCs w:val="20"/>
        </w:rPr>
      </w:pPr>
      <w:r>
        <w:rPr>
          <w:rFonts w:ascii="Arial" w:hAnsi="Arial" w:cs="Arial"/>
          <w:sz w:val="20"/>
          <w:szCs w:val="20"/>
        </w:rPr>
        <w:t>Si chiede di descrivere brevemente le caratteristiche della piattaforma software progettata per la gestione, l'analisi e la visualizzazione di database economici e finanziari. Indicare inoltre se tale piattaforma è una vostra esclusività.</w:t>
      </w:r>
    </w:p>
    <w:tbl>
      <w:tblPr>
        <w:tblW w:w="8494" w:type="dxa"/>
        <w:tblCellMar>
          <w:left w:w="10" w:type="dxa"/>
          <w:right w:w="10" w:type="dxa"/>
        </w:tblCellMar>
        <w:tblLook w:val="04A0" w:firstRow="1" w:lastRow="0" w:firstColumn="1" w:lastColumn="0" w:noHBand="0" w:noVBand="1"/>
      </w:tblPr>
      <w:tblGrid>
        <w:gridCol w:w="8494"/>
      </w:tblGrid>
      <w:tr w:rsidR="007067A0" w14:paraId="79915559" w14:textId="77777777">
        <w:trPr>
          <w:trHeight w:val="1106"/>
        </w:trPr>
        <w:tc>
          <w:tcPr>
            <w:tcW w:w="8494" w:type="dxa"/>
            <w:tcBorders>
              <w:top w:val="single" w:sz="4" w:space="0" w:color="1F497D"/>
              <w:left w:val="single" w:sz="4" w:space="0" w:color="1F497D"/>
              <w:bottom w:val="single" w:sz="4" w:space="0" w:color="1F497D"/>
              <w:right w:val="single" w:sz="4" w:space="0" w:color="1F497D"/>
            </w:tcBorders>
            <w:shd w:val="clear" w:color="auto" w:fill="F2F2F2"/>
            <w:tcMar>
              <w:top w:w="0" w:type="dxa"/>
              <w:left w:w="108" w:type="dxa"/>
              <w:bottom w:w="0" w:type="dxa"/>
              <w:right w:w="108" w:type="dxa"/>
            </w:tcMar>
          </w:tcPr>
          <w:p w14:paraId="79915558" w14:textId="77777777" w:rsidR="007067A0" w:rsidRDefault="007067A0">
            <w:pPr>
              <w:jc w:val="both"/>
              <w:rPr>
                <w:rFonts w:ascii="Arial" w:hAnsi="Arial" w:cs="Arial"/>
                <w:bCs/>
                <w:sz w:val="20"/>
                <w:szCs w:val="20"/>
              </w:rPr>
            </w:pPr>
          </w:p>
        </w:tc>
      </w:tr>
    </w:tbl>
    <w:p w14:paraId="7991555A" w14:textId="77777777" w:rsidR="007067A0" w:rsidRDefault="007067A0">
      <w:pPr>
        <w:spacing w:line="360" w:lineRule="auto"/>
        <w:ind w:left="-76"/>
        <w:jc w:val="both"/>
        <w:rPr>
          <w:rFonts w:ascii="Arial" w:hAnsi="Arial" w:cs="Arial"/>
          <w:iCs/>
          <w:color w:val="000000"/>
          <w:sz w:val="20"/>
        </w:rPr>
      </w:pPr>
    </w:p>
    <w:p w14:paraId="7991555B" w14:textId="77777777" w:rsidR="007067A0" w:rsidRDefault="00A337D9">
      <w:pPr>
        <w:pStyle w:val="Paragrafoelenco"/>
        <w:numPr>
          <w:ilvl w:val="0"/>
          <w:numId w:val="5"/>
        </w:numPr>
        <w:jc w:val="both"/>
        <w:rPr>
          <w:rFonts w:ascii="Arial" w:hAnsi="Arial" w:cs="Arial"/>
          <w:sz w:val="20"/>
          <w:szCs w:val="20"/>
        </w:rPr>
      </w:pPr>
      <w:r>
        <w:rPr>
          <w:rFonts w:ascii="Arial" w:hAnsi="Arial" w:cs="Arial"/>
          <w:sz w:val="20"/>
          <w:szCs w:val="20"/>
        </w:rPr>
        <w:t>Haver Analytics consente la costruzione di un database, privato e riservato al DT, con serie proprietarie contenute all’interno del più ampio perimetro dei database di cui al paragrafo 2 “Oggetto dell’iniziativa”. Indicare inoltre se tale possibilità è una vostra esclusività.</w:t>
      </w:r>
    </w:p>
    <w:tbl>
      <w:tblPr>
        <w:tblW w:w="8494" w:type="dxa"/>
        <w:tblCellMar>
          <w:left w:w="10" w:type="dxa"/>
          <w:right w:w="10" w:type="dxa"/>
        </w:tblCellMar>
        <w:tblLook w:val="04A0" w:firstRow="1" w:lastRow="0" w:firstColumn="1" w:lastColumn="0" w:noHBand="0" w:noVBand="1"/>
      </w:tblPr>
      <w:tblGrid>
        <w:gridCol w:w="8494"/>
      </w:tblGrid>
      <w:tr w:rsidR="007067A0" w14:paraId="7991555D" w14:textId="77777777">
        <w:trPr>
          <w:trHeight w:val="1106"/>
        </w:trPr>
        <w:tc>
          <w:tcPr>
            <w:tcW w:w="8494" w:type="dxa"/>
            <w:tcBorders>
              <w:top w:val="single" w:sz="4" w:space="0" w:color="1F497D"/>
              <w:left w:val="single" w:sz="4" w:space="0" w:color="1F497D"/>
              <w:bottom w:val="single" w:sz="4" w:space="0" w:color="1F497D"/>
              <w:right w:val="single" w:sz="4" w:space="0" w:color="1F497D"/>
            </w:tcBorders>
            <w:shd w:val="clear" w:color="auto" w:fill="F2F2F2"/>
            <w:tcMar>
              <w:top w:w="0" w:type="dxa"/>
              <w:left w:w="108" w:type="dxa"/>
              <w:bottom w:w="0" w:type="dxa"/>
              <w:right w:w="108" w:type="dxa"/>
            </w:tcMar>
          </w:tcPr>
          <w:p w14:paraId="7991555C" w14:textId="77777777" w:rsidR="007067A0" w:rsidRDefault="007067A0">
            <w:pPr>
              <w:jc w:val="both"/>
              <w:rPr>
                <w:rFonts w:ascii="Arial" w:hAnsi="Arial" w:cs="Arial"/>
                <w:bCs/>
                <w:sz w:val="20"/>
                <w:szCs w:val="20"/>
              </w:rPr>
            </w:pPr>
          </w:p>
        </w:tc>
      </w:tr>
    </w:tbl>
    <w:p w14:paraId="7991555E" w14:textId="77777777" w:rsidR="007067A0" w:rsidRDefault="007067A0">
      <w:pPr>
        <w:spacing w:line="360" w:lineRule="auto"/>
        <w:ind w:left="-76"/>
        <w:jc w:val="both"/>
        <w:rPr>
          <w:rFonts w:ascii="Arial" w:hAnsi="Arial" w:cs="Arial"/>
          <w:iCs/>
          <w:color w:val="000000"/>
          <w:sz w:val="20"/>
        </w:rPr>
      </w:pPr>
    </w:p>
    <w:p w14:paraId="7991555F" w14:textId="60581C05" w:rsidR="007067A0" w:rsidRDefault="00A337D9">
      <w:pPr>
        <w:pStyle w:val="Paragrafoelenco"/>
        <w:numPr>
          <w:ilvl w:val="0"/>
          <w:numId w:val="5"/>
        </w:numPr>
        <w:jc w:val="both"/>
      </w:pPr>
      <w:r>
        <w:rPr>
          <w:rFonts w:ascii="Arial" w:hAnsi="Arial" w:cs="Arial"/>
          <w:sz w:val="20"/>
          <w:szCs w:val="20"/>
        </w:rPr>
        <w:t xml:space="preserve">Haver Analytics permette con i propri dati e tramite la propria applicazione e relativi add-in, la costruzione di analisi grafiche dettagliate e condivise all’interno dei gruppi di lavoro del DT con i prodotti in uso quali Microsoft 365 </w:t>
      </w:r>
      <w:proofErr w:type="gramStart"/>
      <w:r>
        <w:rPr>
          <w:rFonts w:ascii="Arial" w:hAnsi="Arial" w:cs="Arial"/>
          <w:sz w:val="20"/>
          <w:szCs w:val="20"/>
        </w:rPr>
        <w:t>e</w:t>
      </w:r>
      <w:proofErr w:type="gramEnd"/>
      <w:r>
        <w:rPr>
          <w:rFonts w:ascii="Arial" w:hAnsi="Arial" w:cs="Arial"/>
          <w:sz w:val="20"/>
          <w:szCs w:val="20"/>
        </w:rPr>
        <w:t xml:space="preserve"> </w:t>
      </w:r>
      <w:proofErr w:type="spellStart"/>
      <w:proofErr w:type="gramStart"/>
      <w:r>
        <w:rPr>
          <w:rFonts w:ascii="Arial" w:hAnsi="Arial" w:cs="Arial"/>
          <w:sz w:val="20"/>
          <w:szCs w:val="20"/>
        </w:rPr>
        <w:t>Eviews</w:t>
      </w:r>
      <w:proofErr w:type="spellEnd"/>
      <w:r>
        <w:rPr>
          <w:rFonts w:ascii="Arial" w:hAnsi="Arial" w:cs="Arial"/>
          <w:sz w:val="20"/>
          <w:szCs w:val="20"/>
        </w:rPr>
        <w:t>,?</w:t>
      </w:r>
      <w:proofErr w:type="gramEnd"/>
      <w:r>
        <w:rPr>
          <w:rFonts w:ascii="Arial" w:hAnsi="Arial" w:cs="Arial"/>
          <w:sz w:val="20"/>
          <w:szCs w:val="20"/>
        </w:rPr>
        <w:t xml:space="preserve"> Indicare inoltre se tale possibilità è una vostra esclusività.</w:t>
      </w:r>
    </w:p>
    <w:tbl>
      <w:tblPr>
        <w:tblW w:w="8494" w:type="dxa"/>
        <w:tblCellMar>
          <w:left w:w="10" w:type="dxa"/>
          <w:right w:w="10" w:type="dxa"/>
        </w:tblCellMar>
        <w:tblLook w:val="04A0" w:firstRow="1" w:lastRow="0" w:firstColumn="1" w:lastColumn="0" w:noHBand="0" w:noVBand="1"/>
      </w:tblPr>
      <w:tblGrid>
        <w:gridCol w:w="8494"/>
      </w:tblGrid>
      <w:tr w:rsidR="007067A0" w14:paraId="79915561" w14:textId="77777777">
        <w:trPr>
          <w:trHeight w:val="1106"/>
        </w:trPr>
        <w:tc>
          <w:tcPr>
            <w:tcW w:w="8494" w:type="dxa"/>
            <w:tcBorders>
              <w:top w:val="single" w:sz="4" w:space="0" w:color="1F497D"/>
              <w:left w:val="single" w:sz="4" w:space="0" w:color="1F497D"/>
              <w:bottom w:val="single" w:sz="4" w:space="0" w:color="1F497D"/>
              <w:right w:val="single" w:sz="4" w:space="0" w:color="1F497D"/>
            </w:tcBorders>
            <w:shd w:val="clear" w:color="auto" w:fill="F2F2F2"/>
            <w:tcMar>
              <w:top w:w="0" w:type="dxa"/>
              <w:left w:w="108" w:type="dxa"/>
              <w:bottom w:w="0" w:type="dxa"/>
              <w:right w:w="108" w:type="dxa"/>
            </w:tcMar>
          </w:tcPr>
          <w:p w14:paraId="79915560" w14:textId="77777777" w:rsidR="007067A0" w:rsidRDefault="007067A0">
            <w:pPr>
              <w:jc w:val="both"/>
              <w:rPr>
                <w:rFonts w:ascii="Arial" w:hAnsi="Arial" w:cs="Arial"/>
                <w:bCs/>
                <w:sz w:val="20"/>
                <w:szCs w:val="20"/>
              </w:rPr>
            </w:pPr>
          </w:p>
        </w:tc>
      </w:tr>
    </w:tbl>
    <w:p w14:paraId="79915562" w14:textId="77777777" w:rsidR="007067A0" w:rsidRDefault="007067A0">
      <w:pPr>
        <w:spacing w:line="360" w:lineRule="auto"/>
        <w:ind w:left="-76"/>
        <w:jc w:val="both"/>
        <w:rPr>
          <w:rFonts w:ascii="Arial" w:hAnsi="Arial" w:cs="Arial"/>
          <w:iCs/>
          <w:color w:val="000000"/>
          <w:sz w:val="20"/>
        </w:rPr>
      </w:pPr>
    </w:p>
    <w:p w14:paraId="79915563" w14:textId="77777777" w:rsidR="007067A0" w:rsidRDefault="00A337D9">
      <w:pPr>
        <w:pStyle w:val="Paragrafoelenco"/>
        <w:numPr>
          <w:ilvl w:val="0"/>
          <w:numId w:val="5"/>
        </w:numPr>
        <w:jc w:val="both"/>
        <w:rPr>
          <w:rFonts w:ascii="Arial" w:hAnsi="Arial" w:cs="Arial"/>
          <w:sz w:val="20"/>
          <w:szCs w:val="20"/>
        </w:rPr>
      </w:pPr>
      <w:r>
        <w:rPr>
          <w:rFonts w:ascii="Arial" w:hAnsi="Arial" w:cs="Arial"/>
          <w:sz w:val="20"/>
          <w:szCs w:val="20"/>
        </w:rPr>
        <w:t>Indicare se l’azienda ha in corso collaborazioni con partner “data provider”. Se sì indicare l’ambito e le modalità di collaborazione.</w:t>
      </w:r>
    </w:p>
    <w:tbl>
      <w:tblPr>
        <w:tblW w:w="8494" w:type="dxa"/>
        <w:tblCellMar>
          <w:left w:w="10" w:type="dxa"/>
          <w:right w:w="10" w:type="dxa"/>
        </w:tblCellMar>
        <w:tblLook w:val="04A0" w:firstRow="1" w:lastRow="0" w:firstColumn="1" w:lastColumn="0" w:noHBand="0" w:noVBand="1"/>
      </w:tblPr>
      <w:tblGrid>
        <w:gridCol w:w="8494"/>
      </w:tblGrid>
      <w:tr w:rsidR="007067A0" w14:paraId="79915565" w14:textId="77777777">
        <w:trPr>
          <w:trHeight w:val="1106"/>
        </w:trPr>
        <w:tc>
          <w:tcPr>
            <w:tcW w:w="8494" w:type="dxa"/>
            <w:tcBorders>
              <w:top w:val="single" w:sz="4" w:space="0" w:color="1F497D"/>
              <w:left w:val="single" w:sz="4" w:space="0" w:color="1F497D"/>
              <w:bottom w:val="single" w:sz="4" w:space="0" w:color="1F497D"/>
              <w:right w:val="single" w:sz="4" w:space="0" w:color="1F497D"/>
            </w:tcBorders>
            <w:shd w:val="clear" w:color="auto" w:fill="F2F2F2"/>
            <w:tcMar>
              <w:top w:w="0" w:type="dxa"/>
              <w:left w:w="108" w:type="dxa"/>
              <w:bottom w:w="0" w:type="dxa"/>
              <w:right w:w="108" w:type="dxa"/>
            </w:tcMar>
          </w:tcPr>
          <w:p w14:paraId="79915564" w14:textId="77777777" w:rsidR="007067A0" w:rsidRDefault="007067A0">
            <w:pPr>
              <w:jc w:val="both"/>
              <w:rPr>
                <w:rFonts w:ascii="Arial" w:hAnsi="Arial" w:cs="Arial"/>
                <w:bCs/>
                <w:sz w:val="20"/>
                <w:szCs w:val="20"/>
              </w:rPr>
            </w:pPr>
          </w:p>
        </w:tc>
      </w:tr>
    </w:tbl>
    <w:p w14:paraId="79915566" w14:textId="77777777" w:rsidR="007067A0" w:rsidRDefault="007067A0">
      <w:pPr>
        <w:spacing w:line="360" w:lineRule="auto"/>
        <w:ind w:left="-76"/>
        <w:jc w:val="both"/>
        <w:rPr>
          <w:rFonts w:ascii="Arial" w:hAnsi="Arial" w:cs="Arial"/>
          <w:iCs/>
          <w:color w:val="000000"/>
          <w:sz w:val="20"/>
        </w:rPr>
      </w:pPr>
    </w:p>
    <w:p w14:paraId="79915567" w14:textId="77777777" w:rsidR="007067A0" w:rsidRDefault="00A337D9">
      <w:pPr>
        <w:pStyle w:val="Paragrafoelenco"/>
        <w:numPr>
          <w:ilvl w:val="0"/>
          <w:numId w:val="5"/>
        </w:numPr>
        <w:jc w:val="both"/>
        <w:rPr>
          <w:rFonts w:ascii="Arial" w:hAnsi="Arial" w:cs="Arial"/>
          <w:sz w:val="20"/>
          <w:szCs w:val="20"/>
        </w:rPr>
      </w:pPr>
      <w:r>
        <w:rPr>
          <w:rFonts w:ascii="Arial" w:hAnsi="Arial" w:cs="Arial"/>
          <w:sz w:val="20"/>
          <w:szCs w:val="20"/>
        </w:rPr>
        <w:t>Per i servizi di cui al paragrafo 2, si chiede di descrivere il supporto per il training e la migrazione delle informazioni necessarie ad aggiornare i sistemi del DT ai nuovi dati macroeconomici. Con quali modalità viene eventualmente pagato questo servizio di supporto?</w:t>
      </w:r>
    </w:p>
    <w:tbl>
      <w:tblPr>
        <w:tblW w:w="8494" w:type="dxa"/>
        <w:tblCellMar>
          <w:left w:w="10" w:type="dxa"/>
          <w:right w:w="10" w:type="dxa"/>
        </w:tblCellMar>
        <w:tblLook w:val="04A0" w:firstRow="1" w:lastRow="0" w:firstColumn="1" w:lastColumn="0" w:noHBand="0" w:noVBand="1"/>
      </w:tblPr>
      <w:tblGrid>
        <w:gridCol w:w="8494"/>
      </w:tblGrid>
      <w:tr w:rsidR="007067A0" w14:paraId="79915569" w14:textId="77777777">
        <w:trPr>
          <w:trHeight w:val="1034"/>
        </w:trPr>
        <w:tc>
          <w:tcPr>
            <w:tcW w:w="8494" w:type="dxa"/>
            <w:tcBorders>
              <w:top w:val="single" w:sz="4" w:space="0" w:color="1F497D"/>
              <w:left w:val="single" w:sz="4" w:space="0" w:color="1F497D"/>
              <w:bottom w:val="single" w:sz="4" w:space="0" w:color="1F497D"/>
              <w:right w:val="single" w:sz="4" w:space="0" w:color="1F497D"/>
            </w:tcBorders>
            <w:shd w:val="clear" w:color="auto" w:fill="F2F2F2"/>
            <w:tcMar>
              <w:top w:w="0" w:type="dxa"/>
              <w:left w:w="108" w:type="dxa"/>
              <w:bottom w:w="0" w:type="dxa"/>
              <w:right w:w="108" w:type="dxa"/>
            </w:tcMar>
          </w:tcPr>
          <w:p w14:paraId="79915568" w14:textId="77777777" w:rsidR="007067A0" w:rsidRDefault="007067A0">
            <w:pPr>
              <w:jc w:val="both"/>
              <w:rPr>
                <w:rFonts w:ascii="Calibri" w:hAnsi="Calibri" w:cs="Arial"/>
                <w:bCs/>
                <w:sz w:val="20"/>
                <w:szCs w:val="20"/>
              </w:rPr>
            </w:pPr>
          </w:p>
        </w:tc>
      </w:tr>
    </w:tbl>
    <w:p w14:paraId="7991556D" w14:textId="77777777" w:rsidR="007067A0" w:rsidRDefault="007067A0">
      <w:pPr>
        <w:spacing w:line="360" w:lineRule="auto"/>
        <w:ind w:left="-76"/>
        <w:jc w:val="both"/>
        <w:rPr>
          <w:rFonts w:ascii="Arial" w:hAnsi="Arial" w:cs="Arial"/>
          <w:iCs/>
          <w:color w:val="000000"/>
          <w:sz w:val="20"/>
        </w:rPr>
      </w:pPr>
    </w:p>
    <w:p w14:paraId="7991556E" w14:textId="77777777" w:rsidR="007067A0" w:rsidRDefault="00A337D9">
      <w:pPr>
        <w:pStyle w:val="Paragrafoelenco"/>
        <w:numPr>
          <w:ilvl w:val="0"/>
          <w:numId w:val="5"/>
        </w:numPr>
        <w:jc w:val="both"/>
        <w:rPr>
          <w:rFonts w:ascii="Arial" w:hAnsi="Arial" w:cs="Arial"/>
          <w:sz w:val="20"/>
          <w:szCs w:val="20"/>
        </w:rPr>
      </w:pPr>
      <w:r>
        <w:rPr>
          <w:rFonts w:ascii="Arial" w:hAnsi="Arial" w:cs="Arial"/>
          <w:sz w:val="20"/>
          <w:szCs w:val="20"/>
        </w:rPr>
        <w:t>Per i servizi di cui al paragrafo 2, si chiede di indicare i livelli di servizio garantiti suddivisi per singolo servizio e di descrivere con quali modalità viene monitorato il servizio.</w:t>
      </w:r>
    </w:p>
    <w:tbl>
      <w:tblPr>
        <w:tblW w:w="8494" w:type="dxa"/>
        <w:tblCellMar>
          <w:left w:w="10" w:type="dxa"/>
          <w:right w:w="10" w:type="dxa"/>
        </w:tblCellMar>
        <w:tblLook w:val="04A0" w:firstRow="1" w:lastRow="0" w:firstColumn="1" w:lastColumn="0" w:noHBand="0" w:noVBand="1"/>
      </w:tblPr>
      <w:tblGrid>
        <w:gridCol w:w="8494"/>
      </w:tblGrid>
      <w:tr w:rsidR="007067A0" w14:paraId="79915570" w14:textId="77777777">
        <w:trPr>
          <w:trHeight w:val="1190"/>
        </w:trPr>
        <w:tc>
          <w:tcPr>
            <w:tcW w:w="8494" w:type="dxa"/>
            <w:tcBorders>
              <w:top w:val="single" w:sz="4" w:space="0" w:color="1F497D"/>
              <w:left w:val="single" w:sz="4" w:space="0" w:color="1F497D"/>
              <w:bottom w:val="single" w:sz="4" w:space="0" w:color="1F497D"/>
              <w:right w:val="single" w:sz="4" w:space="0" w:color="1F497D"/>
            </w:tcBorders>
            <w:shd w:val="clear" w:color="auto" w:fill="F2F2F2"/>
            <w:tcMar>
              <w:top w:w="0" w:type="dxa"/>
              <w:left w:w="108" w:type="dxa"/>
              <w:bottom w:w="0" w:type="dxa"/>
              <w:right w:w="108" w:type="dxa"/>
            </w:tcMar>
          </w:tcPr>
          <w:p w14:paraId="7991556F" w14:textId="77777777" w:rsidR="007067A0" w:rsidRDefault="007067A0">
            <w:pPr>
              <w:jc w:val="both"/>
              <w:rPr>
                <w:rFonts w:ascii="Arial" w:hAnsi="Arial" w:cs="Arial"/>
                <w:sz w:val="20"/>
                <w:szCs w:val="20"/>
              </w:rPr>
            </w:pPr>
          </w:p>
        </w:tc>
      </w:tr>
    </w:tbl>
    <w:p w14:paraId="79915571" w14:textId="77777777" w:rsidR="007067A0" w:rsidRDefault="007067A0">
      <w:pPr>
        <w:spacing w:line="360" w:lineRule="auto"/>
        <w:ind w:left="-76"/>
        <w:jc w:val="both"/>
        <w:rPr>
          <w:rFonts w:ascii="Arial" w:hAnsi="Arial" w:cs="Arial"/>
          <w:iCs/>
          <w:color w:val="000000"/>
          <w:sz w:val="20"/>
        </w:rPr>
      </w:pPr>
    </w:p>
    <w:p w14:paraId="79915572" w14:textId="77777777" w:rsidR="007067A0" w:rsidRDefault="00A337D9">
      <w:pPr>
        <w:pStyle w:val="Paragrafoelenco"/>
        <w:numPr>
          <w:ilvl w:val="0"/>
          <w:numId w:val="5"/>
        </w:numPr>
        <w:jc w:val="both"/>
        <w:rPr>
          <w:rFonts w:ascii="Arial" w:hAnsi="Arial" w:cs="Arial"/>
          <w:sz w:val="20"/>
          <w:szCs w:val="20"/>
        </w:rPr>
      </w:pPr>
      <w:r>
        <w:rPr>
          <w:rFonts w:ascii="Arial" w:hAnsi="Arial" w:cs="Arial"/>
          <w:sz w:val="20"/>
          <w:szCs w:val="20"/>
        </w:rPr>
        <w:lastRenderedPageBreak/>
        <w:t xml:space="preserve">Per i servizi di cui al paragrafo 2, indicare le metriche di utilizzo (es. tipologia di accesso, GB dati scaricati, ecc.…) e le relative modalità di prezzo (es. per tipologia, a canone, ecc.…) </w:t>
      </w:r>
    </w:p>
    <w:tbl>
      <w:tblPr>
        <w:tblW w:w="8494" w:type="dxa"/>
        <w:tblCellMar>
          <w:left w:w="10" w:type="dxa"/>
          <w:right w:w="10" w:type="dxa"/>
        </w:tblCellMar>
        <w:tblLook w:val="04A0" w:firstRow="1" w:lastRow="0" w:firstColumn="1" w:lastColumn="0" w:noHBand="0" w:noVBand="1"/>
      </w:tblPr>
      <w:tblGrid>
        <w:gridCol w:w="8494"/>
      </w:tblGrid>
      <w:tr w:rsidR="007067A0" w14:paraId="79915574" w14:textId="77777777">
        <w:trPr>
          <w:trHeight w:val="1106"/>
        </w:trPr>
        <w:tc>
          <w:tcPr>
            <w:tcW w:w="8494" w:type="dxa"/>
            <w:tcBorders>
              <w:top w:val="single" w:sz="4" w:space="0" w:color="1F497D"/>
              <w:left w:val="single" w:sz="4" w:space="0" w:color="1F497D"/>
              <w:bottom w:val="single" w:sz="4" w:space="0" w:color="1F497D"/>
              <w:right w:val="single" w:sz="4" w:space="0" w:color="1F497D"/>
            </w:tcBorders>
            <w:shd w:val="clear" w:color="auto" w:fill="F2F2F2"/>
            <w:tcMar>
              <w:top w:w="0" w:type="dxa"/>
              <w:left w:w="108" w:type="dxa"/>
              <w:bottom w:w="0" w:type="dxa"/>
              <w:right w:w="108" w:type="dxa"/>
            </w:tcMar>
          </w:tcPr>
          <w:p w14:paraId="79915573" w14:textId="77777777" w:rsidR="007067A0" w:rsidRDefault="007067A0">
            <w:pPr>
              <w:jc w:val="both"/>
              <w:rPr>
                <w:rFonts w:ascii="Calibri" w:hAnsi="Calibri" w:cs="Arial"/>
                <w:bCs/>
                <w:sz w:val="20"/>
                <w:szCs w:val="20"/>
              </w:rPr>
            </w:pPr>
          </w:p>
        </w:tc>
      </w:tr>
    </w:tbl>
    <w:p w14:paraId="79915575" w14:textId="77777777" w:rsidR="007067A0" w:rsidRDefault="007067A0">
      <w:pPr>
        <w:spacing w:line="360" w:lineRule="auto"/>
        <w:ind w:left="-76"/>
        <w:jc w:val="both"/>
        <w:rPr>
          <w:rFonts w:ascii="Arial" w:hAnsi="Arial" w:cs="Arial"/>
          <w:iCs/>
          <w:color w:val="000000"/>
          <w:sz w:val="20"/>
        </w:rPr>
      </w:pPr>
    </w:p>
    <w:p w14:paraId="79915576" w14:textId="77777777" w:rsidR="007067A0" w:rsidRDefault="00A337D9">
      <w:pPr>
        <w:pStyle w:val="Paragrafoelenco"/>
        <w:numPr>
          <w:ilvl w:val="0"/>
          <w:numId w:val="5"/>
        </w:numPr>
        <w:jc w:val="both"/>
        <w:rPr>
          <w:rFonts w:ascii="Arial" w:hAnsi="Arial" w:cs="Arial"/>
          <w:sz w:val="20"/>
          <w:szCs w:val="20"/>
        </w:rPr>
      </w:pPr>
      <w:r>
        <w:rPr>
          <w:rFonts w:ascii="Arial" w:hAnsi="Arial" w:cs="Arial"/>
          <w:sz w:val="20"/>
          <w:szCs w:val="20"/>
        </w:rPr>
        <w:t xml:space="preserve">Per i servizi di cui al paragrafo 2, esiste un listino pubblico? Se NON esiste si chiede di indicare, sulla base delle informazioni indicate in precedenza, un prezzo stimato suddiviso per le singole tipologie di database. </w:t>
      </w:r>
    </w:p>
    <w:tbl>
      <w:tblPr>
        <w:tblW w:w="8494" w:type="dxa"/>
        <w:tblCellMar>
          <w:left w:w="10" w:type="dxa"/>
          <w:right w:w="10" w:type="dxa"/>
        </w:tblCellMar>
        <w:tblLook w:val="04A0" w:firstRow="1" w:lastRow="0" w:firstColumn="1" w:lastColumn="0" w:noHBand="0" w:noVBand="1"/>
      </w:tblPr>
      <w:tblGrid>
        <w:gridCol w:w="8494"/>
      </w:tblGrid>
      <w:tr w:rsidR="007067A0" w14:paraId="79915578" w14:textId="77777777">
        <w:trPr>
          <w:trHeight w:val="1106"/>
        </w:trPr>
        <w:tc>
          <w:tcPr>
            <w:tcW w:w="8494" w:type="dxa"/>
            <w:tcBorders>
              <w:top w:val="single" w:sz="4" w:space="0" w:color="1F497D"/>
              <w:left w:val="single" w:sz="4" w:space="0" w:color="1F497D"/>
              <w:bottom w:val="single" w:sz="4" w:space="0" w:color="1F497D"/>
              <w:right w:val="single" w:sz="4" w:space="0" w:color="1F497D"/>
            </w:tcBorders>
            <w:shd w:val="clear" w:color="auto" w:fill="F2F2F2"/>
            <w:tcMar>
              <w:top w:w="0" w:type="dxa"/>
              <w:left w:w="108" w:type="dxa"/>
              <w:bottom w:w="0" w:type="dxa"/>
              <w:right w:w="108" w:type="dxa"/>
            </w:tcMar>
          </w:tcPr>
          <w:p w14:paraId="79915577" w14:textId="77777777" w:rsidR="007067A0" w:rsidRDefault="007067A0">
            <w:pPr>
              <w:jc w:val="both"/>
              <w:rPr>
                <w:rFonts w:ascii="Calibri" w:hAnsi="Calibri" w:cs="Arial"/>
                <w:bCs/>
                <w:sz w:val="20"/>
                <w:szCs w:val="20"/>
              </w:rPr>
            </w:pPr>
          </w:p>
        </w:tc>
      </w:tr>
    </w:tbl>
    <w:p w14:paraId="79915579" w14:textId="77777777" w:rsidR="007067A0" w:rsidRDefault="007067A0">
      <w:pPr>
        <w:spacing w:line="360" w:lineRule="auto"/>
        <w:ind w:left="-76"/>
        <w:jc w:val="both"/>
        <w:rPr>
          <w:rFonts w:ascii="Arial" w:hAnsi="Arial" w:cs="Arial"/>
          <w:iCs/>
          <w:color w:val="000000"/>
          <w:sz w:val="20"/>
        </w:rPr>
      </w:pPr>
    </w:p>
    <w:p w14:paraId="7991557A" w14:textId="77777777" w:rsidR="007067A0" w:rsidRPr="000D78A3" w:rsidRDefault="00A337D9" w:rsidP="000D78A3">
      <w:pPr>
        <w:pStyle w:val="Paragrafoelenco"/>
        <w:numPr>
          <w:ilvl w:val="0"/>
          <w:numId w:val="5"/>
        </w:numPr>
        <w:jc w:val="both"/>
        <w:rPr>
          <w:rFonts w:ascii="Arial" w:hAnsi="Arial" w:cs="Arial"/>
          <w:sz w:val="20"/>
          <w:szCs w:val="20"/>
        </w:rPr>
      </w:pPr>
      <w:r w:rsidRPr="000D78A3">
        <w:rPr>
          <w:rFonts w:ascii="Arial" w:hAnsi="Arial" w:cs="Arial"/>
          <w:sz w:val="20"/>
          <w:szCs w:val="20"/>
        </w:rPr>
        <w:t>Si chiede di indicare eventuali ulteriori elementi o informazioni che la Vostra azienda ritiene possano essere utili allo sviluppo dell’iniziativa in oggetto ed eventuali elementi di attenzione o criticità già riscontrate in analoghe iniziative.</w:t>
      </w:r>
    </w:p>
    <w:tbl>
      <w:tblPr>
        <w:tblW w:w="8484" w:type="dxa"/>
        <w:tblCellMar>
          <w:left w:w="10" w:type="dxa"/>
          <w:right w:w="10" w:type="dxa"/>
        </w:tblCellMar>
        <w:tblLook w:val="04A0" w:firstRow="1" w:lastRow="0" w:firstColumn="1" w:lastColumn="0" w:noHBand="0" w:noVBand="1"/>
      </w:tblPr>
      <w:tblGrid>
        <w:gridCol w:w="8484"/>
      </w:tblGrid>
      <w:tr w:rsidR="007067A0" w14:paraId="7991557C" w14:textId="77777777">
        <w:trPr>
          <w:trHeight w:val="1110"/>
        </w:trPr>
        <w:tc>
          <w:tcPr>
            <w:tcW w:w="8484" w:type="dxa"/>
            <w:tcBorders>
              <w:top w:val="single" w:sz="8" w:space="0" w:color="1F497D"/>
              <w:left w:val="single" w:sz="8" w:space="0" w:color="1F497D"/>
              <w:bottom w:val="single" w:sz="8" w:space="0" w:color="1F497D"/>
              <w:right w:val="single" w:sz="8" w:space="0" w:color="1F497D"/>
            </w:tcBorders>
            <w:shd w:val="clear" w:color="auto" w:fill="F2F2F2"/>
            <w:tcMar>
              <w:top w:w="0" w:type="dxa"/>
              <w:left w:w="108" w:type="dxa"/>
              <w:bottom w:w="0" w:type="dxa"/>
              <w:right w:w="108" w:type="dxa"/>
            </w:tcMar>
          </w:tcPr>
          <w:p w14:paraId="7991557B" w14:textId="77777777" w:rsidR="007067A0" w:rsidRDefault="007067A0">
            <w:pPr>
              <w:jc w:val="both"/>
              <w:rPr>
                <w:rFonts w:ascii="Calibri" w:eastAsia="Calibri" w:hAnsi="Calibri" w:cs="Calibri"/>
                <w:sz w:val="20"/>
                <w:szCs w:val="20"/>
              </w:rPr>
            </w:pPr>
          </w:p>
        </w:tc>
      </w:tr>
    </w:tbl>
    <w:p w14:paraId="79915581" w14:textId="77777777" w:rsidR="007067A0" w:rsidRDefault="007067A0">
      <w:pPr>
        <w:rPr>
          <w:rFonts w:ascii="Arial" w:hAnsi="Arial" w:cs="Arial"/>
          <w:iCs/>
          <w:color w:val="000000"/>
          <w:sz w:val="20"/>
        </w:rPr>
      </w:pPr>
    </w:p>
    <w:p w14:paraId="79915582" w14:textId="77777777" w:rsidR="007067A0" w:rsidRDefault="007067A0">
      <w:pPr>
        <w:rPr>
          <w:rFonts w:ascii="Arial" w:hAnsi="Arial" w:cs="Arial"/>
          <w:sz w:val="20"/>
          <w:szCs w:val="20"/>
        </w:rPr>
      </w:pPr>
    </w:p>
    <w:p w14:paraId="79915583" w14:textId="77777777" w:rsidR="007067A0" w:rsidRDefault="00A337D9">
      <w:pPr>
        <w:spacing w:line="276" w:lineRule="auto"/>
        <w:jc w:val="both"/>
        <w:rPr>
          <w:rFonts w:ascii="Arial" w:hAnsi="Arial" w:cs="Arial"/>
          <w:bCs/>
          <w:sz w:val="20"/>
          <w:szCs w:val="20"/>
        </w:rPr>
      </w:pPr>
      <w:r>
        <w:rPr>
          <w:rFonts w:ascii="Arial" w:hAnsi="Arial" w:cs="Arial"/>
          <w:bCs/>
          <w:sz w:val="20"/>
          <w:szCs w:val="20"/>
        </w:rPr>
        <w:t>Con la sottoscrizione del Documento di Consultazione del mercato, l’interessato acconsente espressamente al trattamento dei propri Dati personali più sopra forniti.</w:t>
      </w:r>
    </w:p>
    <w:p w14:paraId="79915584" w14:textId="77777777" w:rsidR="007067A0" w:rsidRDefault="007067A0">
      <w:pPr>
        <w:ind w:left="284"/>
        <w:jc w:val="both"/>
        <w:rPr>
          <w:rFonts w:ascii="Arial" w:hAnsi="Arial" w:cs="Arial"/>
          <w:i/>
          <w:color w:val="0000FF"/>
          <w:sz w:val="20"/>
          <w:szCs w:val="20"/>
        </w:rPr>
      </w:pPr>
    </w:p>
    <w:p w14:paraId="79915585" w14:textId="77777777" w:rsidR="007067A0" w:rsidRDefault="007067A0">
      <w:pPr>
        <w:ind w:left="284"/>
        <w:jc w:val="both"/>
        <w:rPr>
          <w:rFonts w:ascii="Arial" w:hAnsi="Arial" w:cs="Arial"/>
          <w:bCs/>
          <w:i/>
          <w:color w:val="008000"/>
          <w:sz w:val="20"/>
          <w:szCs w:val="20"/>
        </w:rPr>
      </w:pPr>
    </w:p>
    <w:tbl>
      <w:tblPr>
        <w:tblW w:w="2822" w:type="dxa"/>
        <w:tblInd w:w="108" w:type="dxa"/>
        <w:tblCellMar>
          <w:left w:w="10" w:type="dxa"/>
          <w:right w:w="10" w:type="dxa"/>
        </w:tblCellMar>
        <w:tblLook w:val="04A0" w:firstRow="1" w:lastRow="0" w:firstColumn="1" w:lastColumn="0" w:noHBand="0" w:noVBand="1"/>
      </w:tblPr>
      <w:tblGrid>
        <w:gridCol w:w="2836"/>
      </w:tblGrid>
      <w:tr w:rsidR="007067A0" w14:paraId="79915587" w14:textId="77777777">
        <w:trPr>
          <w:trHeight w:val="277"/>
        </w:trPr>
        <w:tc>
          <w:tcPr>
            <w:tcW w:w="283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79915586" w14:textId="77777777" w:rsidR="007067A0" w:rsidRDefault="00A337D9">
            <w:pPr>
              <w:ind w:left="284"/>
              <w:jc w:val="center"/>
            </w:pPr>
            <w:r>
              <w:rPr>
                <w:rFonts w:ascii="Arial" w:hAnsi="Arial" w:cs="Arial"/>
                <w:b/>
                <w:bCs/>
                <w:sz w:val="20"/>
                <w:szCs w:val="20"/>
              </w:rPr>
              <w:t>Firma operatore economico</w:t>
            </w:r>
          </w:p>
        </w:tc>
      </w:tr>
      <w:tr w:rsidR="007067A0" w14:paraId="79915589" w14:textId="77777777">
        <w:tc>
          <w:tcPr>
            <w:tcW w:w="2836" w:type="dxa"/>
            <w:tcBorders>
              <w:top w:val="single" w:sz="4" w:space="0" w:color="FFFFFF"/>
            </w:tcBorders>
            <w:tcMar>
              <w:top w:w="0" w:type="dxa"/>
              <w:left w:w="108" w:type="dxa"/>
              <w:bottom w:w="0" w:type="dxa"/>
              <w:right w:w="108" w:type="dxa"/>
            </w:tcMar>
          </w:tcPr>
          <w:p w14:paraId="79915588" w14:textId="51BB446B" w:rsidR="007067A0" w:rsidRDefault="007067A0">
            <w:pPr>
              <w:ind w:left="284"/>
              <w:jc w:val="center"/>
            </w:pPr>
          </w:p>
        </w:tc>
      </w:tr>
      <w:tr w:rsidR="007067A0" w14:paraId="7991558D" w14:textId="77777777">
        <w:trPr>
          <w:trHeight w:val="413"/>
        </w:trPr>
        <w:tc>
          <w:tcPr>
            <w:tcW w:w="2836" w:type="dxa"/>
            <w:tcMar>
              <w:top w:w="0" w:type="dxa"/>
              <w:left w:w="108" w:type="dxa"/>
              <w:bottom w:w="0" w:type="dxa"/>
              <w:right w:w="108" w:type="dxa"/>
            </w:tcMar>
          </w:tcPr>
          <w:p w14:paraId="7991558A" w14:textId="77777777" w:rsidR="007067A0" w:rsidRDefault="007067A0">
            <w:pPr>
              <w:ind w:left="284"/>
              <w:jc w:val="both"/>
              <w:rPr>
                <w:rFonts w:ascii="Arial" w:hAnsi="Arial" w:cs="Arial"/>
                <w:bCs/>
                <w:i/>
                <w:sz w:val="20"/>
                <w:szCs w:val="20"/>
                <w:shd w:val="clear" w:color="auto" w:fill="FFFF00"/>
              </w:rPr>
            </w:pPr>
          </w:p>
          <w:p w14:paraId="7991558B" w14:textId="77777777" w:rsidR="007067A0" w:rsidRDefault="007067A0">
            <w:pPr>
              <w:ind w:left="284"/>
              <w:jc w:val="both"/>
              <w:rPr>
                <w:rFonts w:ascii="Arial" w:hAnsi="Arial" w:cs="Arial"/>
                <w:bCs/>
                <w:i/>
                <w:sz w:val="20"/>
                <w:szCs w:val="20"/>
                <w:shd w:val="clear" w:color="auto" w:fill="FFFF00"/>
              </w:rPr>
            </w:pPr>
          </w:p>
          <w:p w14:paraId="7991558C" w14:textId="77777777" w:rsidR="007067A0" w:rsidRDefault="00A337D9">
            <w:pPr>
              <w:ind w:left="284"/>
              <w:jc w:val="center"/>
            </w:pPr>
            <w:r>
              <w:rPr>
                <w:rFonts w:ascii="Arial" w:hAnsi="Arial" w:cs="Arial"/>
                <w:bCs/>
                <w:i/>
                <w:sz w:val="20"/>
                <w:szCs w:val="20"/>
              </w:rPr>
              <w:t>_____________________</w:t>
            </w:r>
          </w:p>
        </w:tc>
      </w:tr>
    </w:tbl>
    <w:p w14:paraId="7991558E" w14:textId="77777777" w:rsidR="007067A0" w:rsidRDefault="007067A0">
      <w:pPr>
        <w:jc w:val="both"/>
        <w:rPr>
          <w:rFonts w:ascii="Arial" w:hAnsi="Arial" w:cs="Arial"/>
          <w:sz w:val="20"/>
          <w:szCs w:val="20"/>
        </w:rPr>
      </w:pPr>
    </w:p>
    <w:sectPr w:rsidR="007067A0">
      <w:headerReference w:type="even" r:id="rId8"/>
      <w:headerReference w:type="default" r:id="rId9"/>
      <w:footerReference w:type="default" r:id="rId10"/>
      <w:headerReference w:type="first" r:id="rId11"/>
      <w:footerReference w:type="first" r:id="rId12"/>
      <w:pgSz w:w="11906" w:h="16838"/>
      <w:pgMar w:top="2268" w:right="1134" w:bottom="1985" w:left="226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DD0C7" w14:textId="77777777" w:rsidR="00287570" w:rsidRDefault="00287570">
      <w:r>
        <w:separator/>
      </w:r>
    </w:p>
  </w:endnote>
  <w:endnote w:type="continuationSeparator" w:id="0">
    <w:p w14:paraId="13781EBF" w14:textId="77777777" w:rsidR="00287570" w:rsidRDefault="0028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1546A" w14:textId="77777777" w:rsidR="00A337D9" w:rsidRDefault="00A337D9">
    <w:pPr>
      <w:pStyle w:val="Pidipagina"/>
      <w:pBdr>
        <w:top w:val="single" w:sz="4" w:space="1" w:color="000000"/>
      </w:pBdr>
    </w:pPr>
    <w:r>
      <w:rPr>
        <w:b/>
        <w:bCs/>
        <w:noProof/>
      </w:rPr>
      <mc:AlternateContent>
        <mc:Choice Requires="wps">
          <w:drawing>
            <wp:anchor distT="0" distB="0" distL="114300" distR="114300" simplePos="0" relativeHeight="251661312" behindDoc="0" locked="0" layoutInCell="1" allowOverlap="1" wp14:anchorId="79915462" wp14:editId="79915463">
              <wp:simplePos x="0" y="0"/>
              <wp:positionH relativeFrom="column">
                <wp:posOffset>4599944</wp:posOffset>
              </wp:positionH>
              <wp:positionV relativeFrom="paragraph">
                <wp:posOffset>146688</wp:posOffset>
              </wp:positionV>
              <wp:extent cx="685800" cy="236216"/>
              <wp:effectExtent l="0" t="0" r="0" b="0"/>
              <wp:wrapNone/>
              <wp:docPr id="246905418" name="Casella di testo 3"/>
              <wp:cNvGraphicFramePr/>
              <a:graphic xmlns:a="http://schemas.openxmlformats.org/drawingml/2006/main">
                <a:graphicData uri="http://schemas.microsoft.com/office/word/2010/wordprocessingShape">
                  <wps:wsp>
                    <wps:cNvSpPr txBox="1"/>
                    <wps:spPr>
                      <a:xfrm>
                        <a:off x="0" y="0"/>
                        <a:ext cx="685800" cy="236216"/>
                      </a:xfrm>
                      <a:prstGeom prst="rect">
                        <a:avLst/>
                      </a:prstGeom>
                      <a:solidFill>
                        <a:srgbClr val="FFFFFF"/>
                      </a:solidFill>
                      <a:ln>
                        <a:noFill/>
                        <a:prstDash/>
                      </a:ln>
                    </wps:spPr>
                    <wps:txbx>
                      <w:txbxContent>
                        <w:p w14:paraId="79915466" w14:textId="77777777" w:rsidR="00A337D9" w:rsidRDefault="00A337D9">
                          <w:pPr>
                            <w:pStyle w:val="Pidipagina"/>
                          </w:pPr>
                          <w:r>
                            <w:rPr>
                              <w:rFonts w:ascii="Arial" w:hAnsi="Arial" w:cs="Arial"/>
                              <w:color w:val="0079D6"/>
                              <w:sz w:val="15"/>
                              <w:szCs w:val="15"/>
                            </w:rPr>
                            <w:t xml:space="preserve">pag. </w:t>
                          </w:r>
                          <w:r>
                            <w:rPr>
                              <w:rFonts w:ascii="Arial" w:hAnsi="Arial" w:cs="Arial"/>
                              <w:color w:val="0079D6"/>
                              <w:sz w:val="15"/>
                              <w:szCs w:val="15"/>
                            </w:rPr>
                            <w:fldChar w:fldCharType="begin"/>
                          </w:r>
                          <w:r>
                            <w:rPr>
                              <w:rFonts w:ascii="Arial" w:hAnsi="Arial" w:cs="Arial"/>
                              <w:color w:val="0079D6"/>
                              <w:sz w:val="15"/>
                              <w:szCs w:val="15"/>
                            </w:rPr>
                            <w:instrText xml:space="preserve"> PAGE </w:instrText>
                          </w:r>
                          <w:r>
                            <w:rPr>
                              <w:rFonts w:ascii="Arial" w:hAnsi="Arial" w:cs="Arial"/>
                              <w:color w:val="0079D6"/>
                              <w:sz w:val="15"/>
                              <w:szCs w:val="15"/>
                            </w:rPr>
                            <w:fldChar w:fldCharType="separate"/>
                          </w:r>
                          <w:r>
                            <w:rPr>
                              <w:rFonts w:ascii="Arial" w:hAnsi="Arial" w:cs="Arial"/>
                              <w:color w:val="0079D6"/>
                              <w:sz w:val="15"/>
                              <w:szCs w:val="15"/>
                            </w:rPr>
                            <w:t>2</w:t>
                          </w:r>
                          <w:r>
                            <w:rPr>
                              <w:rFonts w:ascii="Arial" w:hAnsi="Arial" w:cs="Arial"/>
                              <w:color w:val="0079D6"/>
                              <w:sz w:val="15"/>
                              <w:szCs w:val="15"/>
                            </w:rPr>
                            <w:fldChar w:fldCharType="end"/>
                          </w:r>
                          <w:r>
                            <w:rPr>
                              <w:rFonts w:ascii="Arial" w:hAnsi="Arial" w:cs="Arial"/>
                              <w:color w:val="0079D6"/>
                              <w:sz w:val="15"/>
                              <w:szCs w:val="15"/>
                            </w:rPr>
                            <w:t xml:space="preserve"> di </w:t>
                          </w:r>
                          <w:r>
                            <w:rPr>
                              <w:rFonts w:ascii="Arial" w:hAnsi="Arial" w:cs="Arial"/>
                              <w:color w:val="0079D6"/>
                              <w:sz w:val="15"/>
                              <w:szCs w:val="15"/>
                            </w:rPr>
                            <w:fldChar w:fldCharType="begin"/>
                          </w:r>
                          <w:r>
                            <w:rPr>
                              <w:rFonts w:ascii="Arial" w:hAnsi="Arial" w:cs="Arial"/>
                              <w:color w:val="0079D6"/>
                              <w:sz w:val="15"/>
                              <w:szCs w:val="15"/>
                            </w:rPr>
                            <w:instrText xml:space="preserve"> NUMPAGES </w:instrText>
                          </w:r>
                          <w:r>
                            <w:rPr>
                              <w:rFonts w:ascii="Arial" w:hAnsi="Arial" w:cs="Arial"/>
                              <w:color w:val="0079D6"/>
                              <w:sz w:val="15"/>
                              <w:szCs w:val="15"/>
                            </w:rPr>
                            <w:fldChar w:fldCharType="separate"/>
                          </w:r>
                          <w:r>
                            <w:rPr>
                              <w:rFonts w:ascii="Arial" w:hAnsi="Arial" w:cs="Arial"/>
                              <w:color w:val="0079D6"/>
                              <w:sz w:val="15"/>
                              <w:szCs w:val="15"/>
                            </w:rPr>
                            <w:t>2</w:t>
                          </w:r>
                          <w:r>
                            <w:rPr>
                              <w:rFonts w:ascii="Arial" w:hAnsi="Arial" w:cs="Arial"/>
                              <w:color w:val="0079D6"/>
                              <w:sz w:val="15"/>
                              <w:szCs w:val="15"/>
                            </w:rPr>
                            <w:fldChar w:fldCharType="end"/>
                          </w:r>
                        </w:p>
                        <w:p w14:paraId="79915467" w14:textId="77777777" w:rsidR="00A337D9" w:rsidRDefault="00A337D9">
                          <w:pPr>
                            <w:jc w:val="right"/>
                          </w:pPr>
                        </w:p>
                      </w:txbxContent>
                    </wps:txbx>
                    <wps:bodyPr vert="horz" wrap="square" lIns="91440" tIns="45720" rIns="91440" bIns="45720" anchor="t" anchorCtr="0" compatLnSpc="0">
                      <a:noAutofit/>
                    </wps:bodyPr>
                  </wps:wsp>
                </a:graphicData>
              </a:graphic>
            </wp:anchor>
          </w:drawing>
        </mc:Choice>
        <mc:Fallback>
          <w:pict>
            <v:shapetype w14:anchorId="79915462" id="_x0000_t202" coordsize="21600,21600" o:spt="202" path="m,l,21600r21600,l21600,xe">
              <v:stroke joinstyle="miter"/>
              <v:path gradientshapeok="t" o:connecttype="rect"/>
            </v:shapetype>
            <v:shape id="Casella di testo 3" o:spid="_x0000_s1026" type="#_x0000_t202" style="position:absolute;margin-left:362.2pt;margin-top:11.55pt;width:54pt;height:18.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" stroked="f">
              <v:textbox>
                <w:txbxContent>
                  <w:p w14:paraId="79915466" w14:textId="77777777" w:rsidR="00A337D9" w:rsidRDefault="00A337D9">
                    <w:pPr>
                      <w:pStyle w:val="Pidipagina"/>
                    </w:pPr>
                    <w:r>
                      <w:rPr>
                        <w:rFonts w:ascii="Arial" w:hAnsi="Arial" w:cs="Arial"/>
                        <w:color w:val="0079D6"/>
                        <w:sz w:val="15"/>
                        <w:szCs w:val="15"/>
                      </w:rPr>
                      <w:t xml:space="preserve">pag. </w:t>
                    </w:r>
                    <w:r>
                      <w:rPr>
                        <w:rFonts w:ascii="Arial" w:hAnsi="Arial" w:cs="Arial"/>
                        <w:color w:val="0079D6"/>
                        <w:sz w:val="15"/>
                        <w:szCs w:val="15"/>
                      </w:rPr>
                      <w:fldChar w:fldCharType="begin"/>
                    </w:r>
                    <w:r>
                      <w:rPr>
                        <w:rFonts w:ascii="Arial" w:hAnsi="Arial" w:cs="Arial"/>
                        <w:color w:val="0079D6"/>
                        <w:sz w:val="15"/>
                        <w:szCs w:val="15"/>
                      </w:rPr>
                      <w:instrText xml:space="preserve"> PAGE </w:instrText>
                    </w:r>
                    <w:r>
                      <w:rPr>
                        <w:rFonts w:ascii="Arial" w:hAnsi="Arial" w:cs="Arial"/>
                        <w:color w:val="0079D6"/>
                        <w:sz w:val="15"/>
                        <w:szCs w:val="15"/>
                      </w:rPr>
                      <w:fldChar w:fldCharType="separate"/>
                    </w:r>
                    <w:r>
                      <w:rPr>
                        <w:rFonts w:ascii="Arial" w:hAnsi="Arial" w:cs="Arial"/>
                        <w:color w:val="0079D6"/>
                        <w:sz w:val="15"/>
                        <w:szCs w:val="15"/>
                      </w:rPr>
                      <w:t>2</w:t>
                    </w:r>
                    <w:r>
                      <w:rPr>
                        <w:rFonts w:ascii="Arial" w:hAnsi="Arial" w:cs="Arial"/>
                        <w:color w:val="0079D6"/>
                        <w:sz w:val="15"/>
                        <w:szCs w:val="15"/>
                      </w:rPr>
                      <w:fldChar w:fldCharType="end"/>
                    </w:r>
                    <w:r>
                      <w:rPr>
                        <w:rFonts w:ascii="Arial" w:hAnsi="Arial" w:cs="Arial"/>
                        <w:color w:val="0079D6"/>
                        <w:sz w:val="15"/>
                        <w:szCs w:val="15"/>
                      </w:rPr>
                      <w:t xml:space="preserve"> di </w:t>
                    </w:r>
                    <w:r>
                      <w:rPr>
                        <w:rFonts w:ascii="Arial" w:hAnsi="Arial" w:cs="Arial"/>
                        <w:color w:val="0079D6"/>
                        <w:sz w:val="15"/>
                        <w:szCs w:val="15"/>
                      </w:rPr>
                      <w:fldChar w:fldCharType="begin"/>
                    </w:r>
                    <w:r>
                      <w:rPr>
                        <w:rFonts w:ascii="Arial" w:hAnsi="Arial" w:cs="Arial"/>
                        <w:color w:val="0079D6"/>
                        <w:sz w:val="15"/>
                        <w:szCs w:val="15"/>
                      </w:rPr>
                      <w:instrText xml:space="preserve"> NUMPAGES </w:instrText>
                    </w:r>
                    <w:r>
                      <w:rPr>
                        <w:rFonts w:ascii="Arial" w:hAnsi="Arial" w:cs="Arial"/>
                        <w:color w:val="0079D6"/>
                        <w:sz w:val="15"/>
                        <w:szCs w:val="15"/>
                      </w:rPr>
                      <w:fldChar w:fldCharType="separate"/>
                    </w:r>
                    <w:r>
                      <w:rPr>
                        <w:rFonts w:ascii="Arial" w:hAnsi="Arial" w:cs="Arial"/>
                        <w:color w:val="0079D6"/>
                        <w:sz w:val="15"/>
                        <w:szCs w:val="15"/>
                      </w:rPr>
                      <w:t>2</w:t>
                    </w:r>
                    <w:r>
                      <w:rPr>
                        <w:rFonts w:ascii="Arial" w:hAnsi="Arial" w:cs="Arial"/>
                        <w:color w:val="0079D6"/>
                        <w:sz w:val="15"/>
                        <w:szCs w:val="15"/>
                      </w:rPr>
                      <w:fldChar w:fldCharType="end"/>
                    </w:r>
                  </w:p>
                  <w:p w14:paraId="79915467" w14:textId="77777777" w:rsidR="00A337D9" w:rsidRDefault="00A337D9">
                    <w:pPr>
                      <w:jc w:val="right"/>
                    </w:pPr>
                  </w:p>
                </w:txbxContent>
              </v:textbox>
            </v:shape>
          </w:pict>
        </mc:Fallback>
      </mc:AlternateContent>
    </w:r>
    <w:r>
      <w:rPr>
        <w:rFonts w:ascii="Arial" w:hAnsi="Arial" w:cs="Arial"/>
        <w:color w:val="0079D6"/>
        <w:sz w:val="15"/>
        <w:szCs w:val="15"/>
      </w:rPr>
      <w:t xml:space="preserve">Consip S.p.A. – ID2979 - Consultazione di mercato per l’acquisizione di banche dati Haver </w:t>
    </w:r>
    <w:proofErr w:type="spellStart"/>
    <w:r>
      <w:rPr>
        <w:rFonts w:ascii="Arial" w:hAnsi="Arial" w:cs="Arial"/>
        <w:color w:val="0079D6"/>
        <w:sz w:val="15"/>
        <w:szCs w:val="15"/>
      </w:rPr>
      <w:t>Analitycs</w:t>
    </w:r>
    <w:proofErr w:type="spellEnd"/>
    <w:r>
      <w:rPr>
        <w:rFonts w:ascii="Arial" w:hAnsi="Arial" w:cs="Arial"/>
        <w:color w:val="0079D6"/>
        <w:sz w:val="15"/>
        <w:szCs w:val="15"/>
      </w:rPr>
      <w:t xml:space="preserve"> </w:t>
    </w:r>
  </w:p>
  <w:p w14:paraId="7991546B" w14:textId="77777777" w:rsidR="00A337D9" w:rsidRDefault="00A337D9">
    <w:pPr>
      <w:pStyle w:val="Pidipagina"/>
      <w:pBdr>
        <w:top w:val="single" w:sz="4" w:space="1" w:color="000000"/>
      </w:pBdr>
      <w:rPr>
        <w:rFonts w:ascii="Arial" w:hAnsi="Arial" w:cs="Arial"/>
        <w:color w:val="0079D6"/>
        <w:sz w:val="15"/>
        <w:szCs w:val="15"/>
      </w:rPr>
    </w:pPr>
    <w:r>
      <w:rPr>
        <w:rFonts w:ascii="Arial" w:hAnsi="Arial" w:cs="Arial"/>
        <w:color w:val="0079D6"/>
        <w:sz w:val="15"/>
        <w:szCs w:val="15"/>
      </w:rPr>
      <w:t>Classificazione Consip: Ambito Pubblico</w:t>
    </w:r>
  </w:p>
  <w:p w14:paraId="7991546C" w14:textId="77777777" w:rsidR="00A337D9" w:rsidRDefault="00A337D9">
    <w:pPr>
      <w:pStyle w:val="Pidipagina"/>
      <w:pBdr>
        <w:top w:val="single" w:sz="4" w:space="1" w:color="000000"/>
      </w:pBdr>
      <w:rPr>
        <w:rFonts w:ascii="Arial" w:hAnsi="Arial" w:cs="Arial"/>
        <w:color w:val="0079D6"/>
        <w:sz w:val="15"/>
        <w:szCs w:val="15"/>
      </w:rPr>
    </w:pPr>
  </w:p>
  <w:p w14:paraId="7991546D" w14:textId="77777777" w:rsidR="00A337D9" w:rsidRDefault="00A337D9">
    <w:pPr>
      <w:pStyle w:val="Pidipagina"/>
      <w:pBdr>
        <w:top w:val="single" w:sz="4" w:space="1" w:color="000000"/>
      </w:pBdr>
      <w:rPr>
        <w:rFonts w:ascii="Arial" w:hAnsi="Arial" w:cs="Arial"/>
        <w:color w:val="0079D6"/>
        <w:sz w:val="15"/>
        <w:szCs w:val="15"/>
      </w:rPr>
    </w:pPr>
    <w:r>
      <w:rPr>
        <w:rFonts w:ascii="Arial" w:hAnsi="Arial" w:cs="Arial"/>
        <w:color w:val="0079D6"/>
        <w:sz w:val="15"/>
        <w:szCs w:val="15"/>
      </w:rPr>
      <w:t>Codice documento: SGQ1_MODU_000191_00</w:t>
    </w:r>
  </w:p>
  <w:p w14:paraId="7991546E" w14:textId="77777777" w:rsidR="00A337D9" w:rsidRDefault="00A337D9">
    <w:pPr>
      <w:pStyle w:val="Pidipagina"/>
      <w:ind w:right="360"/>
      <w:jc w:val="both"/>
      <w:rPr>
        <w:rFonts w:ascii="Arial" w:hAnsi="Arial" w:cs="Arial"/>
        <w:color w:val="0079D6"/>
        <w:sz w:val="15"/>
        <w:szCs w:val="15"/>
      </w:rPr>
    </w:pPr>
  </w:p>
  <w:p w14:paraId="7991546F" w14:textId="77777777" w:rsidR="00A337D9" w:rsidRDefault="00A337D9">
    <w:pPr>
      <w:pStyle w:val="Pidipagina"/>
      <w:ind w:right="360"/>
      <w:jc w:val="both"/>
    </w:pPr>
    <w:r>
      <w:rPr>
        <w:rFonts w:ascii="Trebuchet MS" w:hAnsi="Trebuchet MS"/>
        <w:sz w:val="16"/>
        <w:szCs w:val="16"/>
      </w:rPr>
      <w:tab/>
    </w:r>
    <w:r>
      <w:rPr>
        <w:rFonts w:ascii="Trebuchet MS" w:hAnsi="Trebuchet MS"/>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5" w:type="dxa"/>
      <w:tblCellMar>
        <w:left w:w="10" w:type="dxa"/>
        <w:right w:w="10" w:type="dxa"/>
      </w:tblCellMar>
      <w:tblLook w:val="04A0" w:firstRow="1" w:lastRow="0" w:firstColumn="1" w:lastColumn="0" w:noHBand="0" w:noVBand="1"/>
    </w:tblPr>
    <w:tblGrid>
      <w:gridCol w:w="4820"/>
      <w:gridCol w:w="3685"/>
    </w:tblGrid>
    <w:tr w:rsidR="001720C9" w14:paraId="7991547A" w14:textId="77777777">
      <w:trPr>
        <w:trHeight w:val="75"/>
      </w:trPr>
      <w:tc>
        <w:tcPr>
          <w:tcW w:w="4820" w:type="dxa"/>
          <w:tcMar>
            <w:top w:w="0" w:type="dxa"/>
            <w:left w:w="0" w:type="dxa"/>
            <w:bottom w:w="0" w:type="dxa"/>
            <w:right w:w="0" w:type="dxa"/>
          </w:tcMar>
          <w:vAlign w:val="bottom"/>
        </w:tcPr>
        <w:p w14:paraId="79915473" w14:textId="77777777" w:rsidR="00A337D9" w:rsidRDefault="00A337D9">
          <w:pPr>
            <w:pStyle w:val="Indirizzi"/>
          </w:pPr>
          <w:r>
            <w:rPr>
              <w:b/>
              <w:bCs/>
              <w:color w:val="0079D6"/>
              <w:sz w:val="15"/>
              <w:szCs w:val="15"/>
            </w:rPr>
            <w:t xml:space="preserve">Consip </w:t>
          </w:r>
          <w:proofErr w:type="spellStart"/>
          <w:r>
            <w:rPr>
              <w:b/>
              <w:bCs/>
              <w:color w:val="0079D6"/>
              <w:sz w:val="15"/>
              <w:szCs w:val="15"/>
            </w:rPr>
            <w:t>SpA</w:t>
          </w:r>
          <w:proofErr w:type="spellEnd"/>
          <w:r>
            <w:rPr>
              <w:b/>
              <w:bCs/>
              <w:color w:val="0079D6"/>
              <w:sz w:val="15"/>
              <w:szCs w:val="15"/>
            </w:rPr>
            <w:t xml:space="preserve"> a socio unico</w:t>
          </w:r>
          <w:r>
            <w:rPr>
              <w:b/>
              <w:bCs/>
              <w:color w:val="0079D6"/>
              <w:sz w:val="15"/>
              <w:szCs w:val="15"/>
            </w:rPr>
            <w:br/>
          </w:r>
          <w:r>
            <w:rPr>
              <w:color w:val="0079D6"/>
              <w:sz w:val="15"/>
              <w:szCs w:val="15"/>
            </w:rPr>
            <w:t>Sede legale: Via Isonzo 19/E, 00198 Roma</w:t>
          </w:r>
        </w:p>
        <w:p w14:paraId="79915474" w14:textId="77777777" w:rsidR="00A337D9" w:rsidRDefault="00A337D9">
          <w:pPr>
            <w:pStyle w:val="Indirizzi"/>
            <w:spacing w:line="240" w:lineRule="auto"/>
            <w:rPr>
              <w:color w:val="0079D6"/>
              <w:sz w:val="15"/>
              <w:szCs w:val="15"/>
              <w:lang w:val="en-US"/>
            </w:rPr>
          </w:pPr>
          <w:r>
            <w:rPr>
              <w:color w:val="0079D6"/>
              <w:sz w:val="15"/>
              <w:szCs w:val="15"/>
              <w:lang w:val="en-US"/>
            </w:rPr>
            <w:t>T +39 06 854491 - pec: postaconsip@postacert.consip.it</w:t>
          </w:r>
        </w:p>
        <w:p w14:paraId="79915475" w14:textId="77777777" w:rsidR="00A337D9" w:rsidRDefault="00A337D9">
          <w:pPr>
            <w:pStyle w:val="Indirizzi"/>
            <w:spacing w:line="240" w:lineRule="auto"/>
            <w:rPr>
              <w:color w:val="0079D6"/>
              <w:sz w:val="15"/>
              <w:szCs w:val="15"/>
              <w:lang w:val="en-US"/>
            </w:rPr>
          </w:pPr>
          <w:r>
            <w:rPr>
              <w:color w:val="0079D6"/>
              <w:sz w:val="15"/>
              <w:szCs w:val="15"/>
              <w:lang w:val="en-US"/>
            </w:rPr>
            <w:t>consip.it</w:t>
          </w:r>
        </w:p>
      </w:tc>
      <w:tc>
        <w:tcPr>
          <w:tcW w:w="3685" w:type="dxa"/>
          <w:tcMar>
            <w:top w:w="0" w:type="dxa"/>
            <w:left w:w="0" w:type="dxa"/>
            <w:bottom w:w="0" w:type="dxa"/>
            <w:right w:w="0" w:type="dxa"/>
          </w:tcMar>
          <w:vAlign w:val="bottom"/>
        </w:tcPr>
        <w:p w14:paraId="79915476" w14:textId="77777777" w:rsidR="00A337D9" w:rsidRDefault="00A337D9">
          <w:pPr>
            <w:pStyle w:val="Indirizzi"/>
            <w:spacing w:line="240" w:lineRule="auto"/>
            <w:rPr>
              <w:color w:val="0079D6"/>
              <w:sz w:val="15"/>
              <w:szCs w:val="15"/>
            </w:rPr>
          </w:pPr>
          <w:r>
            <w:rPr>
              <w:color w:val="0079D6"/>
              <w:sz w:val="15"/>
              <w:szCs w:val="15"/>
            </w:rPr>
            <w:t xml:space="preserve">Capitale Sociale € 5.200.000,00 </w:t>
          </w:r>
          <w:proofErr w:type="spellStart"/>
          <w:r>
            <w:rPr>
              <w:color w:val="0079D6"/>
              <w:sz w:val="15"/>
              <w:szCs w:val="15"/>
            </w:rPr>
            <w:t>i.v</w:t>
          </w:r>
          <w:proofErr w:type="spellEnd"/>
          <w:r>
            <w:rPr>
              <w:color w:val="0079D6"/>
              <w:sz w:val="15"/>
              <w:szCs w:val="15"/>
            </w:rPr>
            <w:t>.</w:t>
          </w:r>
        </w:p>
        <w:p w14:paraId="79915477" w14:textId="77777777" w:rsidR="00A337D9" w:rsidRDefault="00A337D9">
          <w:pPr>
            <w:pStyle w:val="Indirizzi"/>
            <w:spacing w:line="240" w:lineRule="auto"/>
            <w:rPr>
              <w:color w:val="0079D6"/>
              <w:sz w:val="15"/>
              <w:szCs w:val="15"/>
            </w:rPr>
          </w:pPr>
          <w:r>
            <w:rPr>
              <w:color w:val="0079D6"/>
              <w:sz w:val="15"/>
              <w:szCs w:val="15"/>
            </w:rPr>
            <w:t>C.F. e P.I. 05359681003</w:t>
          </w:r>
        </w:p>
        <w:p w14:paraId="79915478" w14:textId="77777777" w:rsidR="00A337D9" w:rsidRDefault="00A337D9">
          <w:pPr>
            <w:pStyle w:val="Indirizzi"/>
            <w:spacing w:line="240" w:lineRule="auto"/>
            <w:rPr>
              <w:color w:val="0079D6"/>
              <w:sz w:val="15"/>
              <w:szCs w:val="15"/>
            </w:rPr>
          </w:pPr>
          <w:proofErr w:type="spellStart"/>
          <w:r>
            <w:rPr>
              <w:color w:val="0079D6"/>
              <w:sz w:val="15"/>
              <w:szCs w:val="15"/>
            </w:rPr>
            <w:t>Iscr</w:t>
          </w:r>
          <w:proofErr w:type="spellEnd"/>
          <w:r>
            <w:rPr>
              <w:color w:val="0079D6"/>
              <w:sz w:val="15"/>
              <w:szCs w:val="15"/>
            </w:rPr>
            <w:t xml:space="preserve">. Reg. </w:t>
          </w:r>
          <w:proofErr w:type="spellStart"/>
          <w:r>
            <w:rPr>
              <w:color w:val="0079D6"/>
              <w:sz w:val="15"/>
              <w:szCs w:val="15"/>
            </w:rPr>
            <w:t>Imp</w:t>
          </w:r>
          <w:proofErr w:type="spellEnd"/>
          <w:r>
            <w:rPr>
              <w:color w:val="0079D6"/>
              <w:sz w:val="15"/>
              <w:szCs w:val="15"/>
            </w:rPr>
            <w:t>. c/o C.C.I.A.A. Roma 05359681003</w:t>
          </w:r>
        </w:p>
        <w:p w14:paraId="79915479" w14:textId="77777777" w:rsidR="00A337D9" w:rsidRDefault="00A337D9">
          <w:pPr>
            <w:pStyle w:val="Indirizzi"/>
            <w:spacing w:line="240" w:lineRule="auto"/>
            <w:rPr>
              <w:color w:val="0079D6"/>
              <w:sz w:val="15"/>
              <w:szCs w:val="15"/>
            </w:rPr>
          </w:pPr>
          <w:proofErr w:type="spellStart"/>
          <w:r>
            <w:rPr>
              <w:color w:val="0079D6"/>
              <w:sz w:val="15"/>
              <w:szCs w:val="15"/>
            </w:rPr>
            <w:t>Iscr</w:t>
          </w:r>
          <w:proofErr w:type="spellEnd"/>
          <w:r>
            <w:rPr>
              <w:color w:val="0079D6"/>
              <w:sz w:val="15"/>
              <w:szCs w:val="15"/>
            </w:rPr>
            <w:t>. R.E.A. N.878407</w:t>
          </w:r>
        </w:p>
      </w:tc>
    </w:tr>
  </w:tbl>
  <w:p w14:paraId="7991547B" w14:textId="77777777" w:rsidR="00A337D9" w:rsidRDefault="00A337D9">
    <w:pPr>
      <w:pStyle w:val="Pidipagina"/>
      <w:spacing w:line="276" w:lineRule="auto"/>
    </w:pP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1736" w14:textId="77777777" w:rsidR="00287570" w:rsidRDefault="00287570">
      <w:r>
        <w:rPr>
          <w:color w:val="000000"/>
        </w:rPr>
        <w:separator/>
      </w:r>
    </w:p>
  </w:footnote>
  <w:footnote w:type="continuationSeparator" w:id="0">
    <w:p w14:paraId="525629E8" w14:textId="77777777" w:rsidR="00287570" w:rsidRDefault="0028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F67B2" w14:textId="0CE8994B" w:rsidR="009C2EEF" w:rsidRDefault="009C2EEF">
    <w:pPr>
      <w:pStyle w:val="Intestazione"/>
    </w:pPr>
    <w:r>
      <w:rPr>
        <w:noProof/>
      </w:rPr>
      <mc:AlternateContent>
        <mc:Choice Requires="wps">
          <w:drawing>
            <wp:anchor distT="0" distB="0" distL="0" distR="0" simplePos="0" relativeHeight="251663360" behindDoc="0" locked="0" layoutInCell="1" allowOverlap="1" wp14:anchorId="524D8B91" wp14:editId="4ADADD32">
              <wp:simplePos x="635" y="635"/>
              <wp:positionH relativeFrom="page">
                <wp:align>center</wp:align>
              </wp:positionH>
              <wp:positionV relativeFrom="page">
                <wp:align>top</wp:align>
              </wp:positionV>
              <wp:extent cx="1039495" cy="345440"/>
              <wp:effectExtent l="0" t="0" r="8255" b="16510"/>
              <wp:wrapNone/>
              <wp:docPr id="2107691665" name="Text Box 2" descr="Diffusione Limitat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39495" cy="345440"/>
                      </a:xfrm>
                      <a:prstGeom prst="rect">
                        <a:avLst/>
                      </a:prstGeom>
                      <a:noFill/>
                      <a:ln>
                        <a:noFill/>
                      </a:ln>
                    </wps:spPr>
                    <wps:txbx>
                      <w:txbxContent>
                        <w:p w14:paraId="66E4D007" w14:textId="730D8883" w:rsidR="009C2EEF" w:rsidRPr="009C2EEF" w:rsidRDefault="009C2EEF" w:rsidP="009C2EEF">
                          <w:pPr>
                            <w:rPr>
                              <w:rFonts w:ascii="Aptos" w:eastAsia="Aptos" w:hAnsi="Aptos" w:cs="Aptos"/>
                              <w:noProof/>
                              <w:color w:val="000000"/>
                              <w:sz w:val="20"/>
                              <w:szCs w:val="20"/>
                            </w:rPr>
                          </w:pPr>
                          <w:r w:rsidRPr="009C2EEF">
                            <w:rPr>
                              <w:rFonts w:ascii="Aptos" w:eastAsia="Aptos" w:hAnsi="Aptos" w:cs="Aptos"/>
                              <w:noProof/>
                              <w:color w:val="000000"/>
                              <w:sz w:val="20"/>
                              <w:szCs w:val="20"/>
                            </w:rPr>
                            <w:t>Diffusione Limitata</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4D8B91" id="_x0000_t202" coordsize="21600,21600" o:spt="202" path="m,l,21600r21600,l21600,xe">
              <v:stroke joinstyle="miter"/>
              <v:path gradientshapeok="t" o:connecttype="rect"/>
            </v:shapetype>
            <v:shape id="Text Box 2" o:spid="_x0000_s1026" type="#_x0000_t202" alt="Diffusione Limitata" style="position:absolute;margin-left:0;margin-top:0;width:81.85pt;height:27.2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" filled="f" stroked="f">
              <v:fill o:detectmouseclick="t"/>
              <v:textbox style="mso-fit-shape-to-text:t" inset="0,15pt,0,0">
                <w:txbxContent>
                  <w:p w14:paraId="66E4D007" w14:textId="730D8883" w:rsidR="009C2EEF" w:rsidRPr="009C2EEF" w:rsidRDefault="009C2EEF" w:rsidP="009C2EEF">
                    <w:pPr>
                      <w:rPr>
                        <w:rFonts w:ascii="Aptos" w:eastAsia="Aptos" w:hAnsi="Aptos" w:cs="Aptos"/>
                        <w:noProof/>
                        <w:color w:val="000000"/>
                        <w:sz w:val="20"/>
                        <w:szCs w:val="20"/>
                      </w:rPr>
                    </w:pPr>
                    <w:r w:rsidRPr="009C2EEF">
                      <w:rPr>
                        <w:rFonts w:ascii="Aptos" w:eastAsia="Aptos" w:hAnsi="Aptos" w:cs="Aptos"/>
                        <w:noProof/>
                        <w:color w:val="000000"/>
                        <w:sz w:val="20"/>
                        <w:szCs w:val="20"/>
                      </w:rPr>
                      <w:t>Diffusione Limitata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15468" w14:textId="33482322" w:rsidR="00A337D9" w:rsidRDefault="009C2EEF">
    <w:pPr>
      <w:pStyle w:val="Intestazione"/>
    </w:pPr>
    <w:r>
      <w:rPr>
        <w:noProof/>
      </w:rPr>
      <mc:AlternateContent>
        <mc:Choice Requires="wps">
          <w:drawing>
            <wp:anchor distT="0" distB="0" distL="0" distR="0" simplePos="0" relativeHeight="251664384" behindDoc="0" locked="0" layoutInCell="1" allowOverlap="1" wp14:anchorId="71789D93" wp14:editId="3E41B517">
              <wp:simplePos x="1441938" y="450166"/>
              <wp:positionH relativeFrom="page">
                <wp:align>center</wp:align>
              </wp:positionH>
              <wp:positionV relativeFrom="page">
                <wp:align>top</wp:align>
              </wp:positionV>
              <wp:extent cx="1039495" cy="345440"/>
              <wp:effectExtent l="0" t="0" r="8255" b="16510"/>
              <wp:wrapNone/>
              <wp:docPr id="1276042335" name="Text Box 3" descr="Diffusione Limitat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39495" cy="345440"/>
                      </a:xfrm>
                      <a:prstGeom prst="rect">
                        <a:avLst/>
                      </a:prstGeom>
                      <a:noFill/>
                      <a:ln>
                        <a:noFill/>
                      </a:ln>
                    </wps:spPr>
                    <wps:txbx>
                      <w:txbxContent>
                        <w:p w14:paraId="11E82201" w14:textId="116D2A8D" w:rsidR="009C2EEF" w:rsidRPr="009C2EEF" w:rsidRDefault="009C2EEF" w:rsidP="009C2EEF">
                          <w:pPr>
                            <w:rPr>
                              <w:rFonts w:ascii="Aptos" w:eastAsia="Aptos" w:hAnsi="Aptos" w:cs="Aptos"/>
                              <w:noProof/>
                              <w:color w:val="000000"/>
                              <w:sz w:val="20"/>
                              <w:szCs w:val="20"/>
                            </w:rPr>
                          </w:pPr>
                          <w:r w:rsidRPr="009C2EEF">
                            <w:rPr>
                              <w:rFonts w:ascii="Aptos" w:eastAsia="Aptos" w:hAnsi="Aptos" w:cs="Aptos"/>
                              <w:noProof/>
                              <w:color w:val="000000"/>
                              <w:sz w:val="20"/>
                              <w:szCs w:val="20"/>
                            </w:rPr>
                            <w:t>Diffusione Limitata</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789D93" id="_x0000_t202" coordsize="21600,21600" o:spt="202" path="m,l,21600r21600,l21600,xe">
              <v:stroke joinstyle="miter"/>
              <v:path gradientshapeok="t" o:connecttype="rect"/>
            </v:shapetype>
            <v:shape id="Text Box 3" o:spid="_x0000_s1027" type="#_x0000_t202" alt="Diffusione Limitata" style="position:absolute;margin-left:0;margin-top:0;width:81.85pt;height:27.2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" filled="f" stroked="f">
              <v:fill o:detectmouseclick="t"/>
              <v:textbox style="mso-fit-shape-to-text:t" inset="0,15pt,0,0">
                <w:txbxContent>
                  <w:p w14:paraId="11E82201" w14:textId="116D2A8D" w:rsidR="009C2EEF" w:rsidRPr="009C2EEF" w:rsidRDefault="009C2EEF" w:rsidP="009C2EEF">
                    <w:pPr>
                      <w:rPr>
                        <w:rFonts w:ascii="Aptos" w:eastAsia="Aptos" w:hAnsi="Aptos" w:cs="Aptos"/>
                        <w:noProof/>
                        <w:color w:val="000000"/>
                        <w:sz w:val="20"/>
                        <w:szCs w:val="20"/>
                      </w:rPr>
                    </w:pPr>
                    <w:r w:rsidRPr="009C2EEF">
                      <w:rPr>
                        <w:rFonts w:ascii="Aptos" w:eastAsia="Aptos" w:hAnsi="Aptos" w:cs="Aptos"/>
                        <w:noProof/>
                        <w:color w:val="000000"/>
                        <w:sz w:val="20"/>
                        <w:szCs w:val="20"/>
                      </w:rPr>
                      <w:t>Diffusione Limitata</w:t>
                    </w:r>
                  </w:p>
                </w:txbxContent>
              </v:textbox>
              <w10:wrap anchorx="page" anchory="page"/>
            </v:shape>
          </w:pict>
        </mc:Fallback>
      </mc:AlternateContent>
    </w:r>
    <w:r w:rsidR="00A337D9">
      <w:rPr>
        <w:noProof/>
      </w:rPr>
      <w:drawing>
        <wp:anchor distT="0" distB="0" distL="114300" distR="114300" simplePos="0" relativeHeight="251659264" behindDoc="0" locked="0" layoutInCell="1" allowOverlap="1" wp14:anchorId="79915460" wp14:editId="79915461">
          <wp:simplePos x="0" y="0"/>
          <wp:positionH relativeFrom="column">
            <wp:posOffset>0</wp:posOffset>
          </wp:positionH>
          <wp:positionV relativeFrom="page">
            <wp:posOffset>449583</wp:posOffset>
          </wp:positionV>
          <wp:extent cx="1212851" cy="299081"/>
          <wp:effectExtent l="0" t="0" r="6349" b="5719"/>
          <wp:wrapNone/>
          <wp:docPr id="1044254964" name="Immagine 1" descr="Immagine che contiene Elementi grafici, Carattere, grafica, logo&#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212851" cy="299081"/>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15471" w14:textId="154796AD" w:rsidR="00A337D9" w:rsidRDefault="009C2EEF">
    <w:pPr>
      <w:pStyle w:val="Intestazione"/>
    </w:pPr>
    <w:r>
      <w:rPr>
        <w:noProof/>
      </w:rPr>
      <mc:AlternateContent>
        <mc:Choice Requires="wps">
          <w:drawing>
            <wp:anchor distT="0" distB="0" distL="0" distR="0" simplePos="0" relativeHeight="251662336" behindDoc="0" locked="0" layoutInCell="1" allowOverlap="1" wp14:anchorId="766C1C4C" wp14:editId="5F4B56B6">
              <wp:simplePos x="635" y="635"/>
              <wp:positionH relativeFrom="page">
                <wp:align>center</wp:align>
              </wp:positionH>
              <wp:positionV relativeFrom="page">
                <wp:align>top</wp:align>
              </wp:positionV>
              <wp:extent cx="1039495" cy="345440"/>
              <wp:effectExtent l="0" t="0" r="8255" b="16510"/>
              <wp:wrapNone/>
              <wp:docPr id="838483032" name="Text Box 1" descr="Diffusione Limitat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39495" cy="345440"/>
                      </a:xfrm>
                      <a:prstGeom prst="rect">
                        <a:avLst/>
                      </a:prstGeom>
                      <a:noFill/>
                      <a:ln>
                        <a:noFill/>
                      </a:ln>
                    </wps:spPr>
                    <wps:txbx>
                      <w:txbxContent>
                        <w:p w14:paraId="275A159E" w14:textId="45FC2863" w:rsidR="009C2EEF" w:rsidRPr="009C2EEF" w:rsidRDefault="009C2EEF" w:rsidP="009C2EEF">
                          <w:pPr>
                            <w:rPr>
                              <w:rFonts w:ascii="Aptos" w:eastAsia="Aptos" w:hAnsi="Aptos" w:cs="Aptos"/>
                              <w:noProof/>
                              <w:color w:val="000000"/>
                              <w:sz w:val="20"/>
                              <w:szCs w:val="20"/>
                            </w:rPr>
                          </w:pPr>
                          <w:r w:rsidRPr="009C2EEF">
                            <w:rPr>
                              <w:rFonts w:ascii="Aptos" w:eastAsia="Aptos" w:hAnsi="Aptos" w:cs="Aptos"/>
                              <w:noProof/>
                              <w:color w:val="000000"/>
                              <w:sz w:val="20"/>
                              <w:szCs w:val="20"/>
                            </w:rPr>
                            <w:t>Diffusione Limitata</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6C1C4C" id="_x0000_t202" coordsize="21600,21600" o:spt="202" path="m,l,21600r21600,l21600,xe">
              <v:stroke joinstyle="miter"/>
              <v:path gradientshapeok="t" o:connecttype="rect"/>
            </v:shapetype>
            <v:shape id="Text Box 1" o:spid="_x0000_s1029" type="#_x0000_t202" alt="Diffusione Limitata" style="position:absolute;margin-left:0;margin-top:0;width:81.85pt;height:27.2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" filled="f" stroked="f">
              <v:fill o:detectmouseclick="t"/>
              <v:textbox style="mso-fit-shape-to-text:t" inset="0,15pt,0,0">
                <w:txbxContent>
                  <w:p w14:paraId="275A159E" w14:textId="45FC2863" w:rsidR="009C2EEF" w:rsidRPr="009C2EEF" w:rsidRDefault="009C2EEF" w:rsidP="009C2EEF">
                    <w:pPr>
                      <w:rPr>
                        <w:rFonts w:ascii="Aptos" w:eastAsia="Aptos" w:hAnsi="Aptos" w:cs="Aptos"/>
                        <w:noProof/>
                        <w:color w:val="000000"/>
                        <w:sz w:val="20"/>
                        <w:szCs w:val="20"/>
                      </w:rPr>
                    </w:pPr>
                    <w:r w:rsidRPr="009C2EEF">
                      <w:rPr>
                        <w:rFonts w:ascii="Aptos" w:eastAsia="Aptos" w:hAnsi="Aptos" w:cs="Aptos"/>
                        <w:noProof/>
                        <w:color w:val="000000"/>
                        <w:sz w:val="20"/>
                        <w:szCs w:val="20"/>
                      </w:rPr>
                      <w:t>Diffusione Limitata</w:t>
                    </w:r>
                  </w:p>
                </w:txbxContent>
              </v:textbox>
              <w10:wrap anchorx="page" anchory="page"/>
            </v:shape>
          </w:pict>
        </mc:Fallback>
      </mc:AlternateContent>
    </w:r>
    <w:r w:rsidR="00A337D9">
      <w:rPr>
        <w:noProof/>
      </w:rPr>
      <w:drawing>
        <wp:inline distT="0" distB="0" distL="0" distR="0" wp14:anchorId="79915464" wp14:editId="79915465">
          <wp:extent cx="1213481" cy="298451"/>
          <wp:effectExtent l="0" t="0" r="5719" b="6349"/>
          <wp:docPr id="1290126785" name="Im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213481" cy="298451"/>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346D2"/>
    <w:multiLevelType w:val="multilevel"/>
    <w:tmpl w:val="58CCF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CE13DA0"/>
    <w:multiLevelType w:val="multilevel"/>
    <w:tmpl w:val="A87638C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 w15:restartNumberingAfterBreak="0">
    <w:nsid w:val="3FB412C6"/>
    <w:multiLevelType w:val="multilevel"/>
    <w:tmpl w:val="C598D32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75E7048"/>
    <w:multiLevelType w:val="multilevel"/>
    <w:tmpl w:val="97426024"/>
    <w:styleLink w:val="WWOutlineListStyle"/>
    <w:lvl w:ilvl="0">
      <w:start w:val="1"/>
      <w:numFmt w:val="decimal"/>
      <w:pStyle w:val="Titolo1"/>
      <w:lvlText w:val="%1."/>
      <w:lvlJc w:val="left"/>
      <w:pPr>
        <w:ind w:left="360" w:hanging="360"/>
      </w:pPr>
      <w:rPr>
        <w:rFonts w:ascii="Arial" w:hAnsi="Arial"/>
        <w:b/>
        <w:i w:val="0"/>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6B754130"/>
    <w:multiLevelType w:val="multilevel"/>
    <w:tmpl w:val="025A84D2"/>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C4377D0"/>
    <w:multiLevelType w:val="multilevel"/>
    <w:tmpl w:val="52E4573A"/>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63238928">
    <w:abstractNumId w:val="3"/>
  </w:num>
  <w:num w:numId="2" w16cid:durableId="1195265334">
    <w:abstractNumId w:val="1"/>
  </w:num>
  <w:num w:numId="3" w16cid:durableId="426535529">
    <w:abstractNumId w:val="2"/>
  </w:num>
  <w:num w:numId="4" w16cid:durableId="1827087575">
    <w:abstractNumId w:val="5"/>
  </w:num>
  <w:num w:numId="5" w16cid:durableId="2093771924">
    <w:abstractNumId w:val="4"/>
  </w:num>
  <w:num w:numId="6" w16cid:durableId="1228227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7A0"/>
    <w:rsid w:val="000816EC"/>
    <w:rsid w:val="000D78A3"/>
    <w:rsid w:val="00152C0F"/>
    <w:rsid w:val="00216AE6"/>
    <w:rsid w:val="00287570"/>
    <w:rsid w:val="002F070C"/>
    <w:rsid w:val="003053DF"/>
    <w:rsid w:val="00592D50"/>
    <w:rsid w:val="005B5EA5"/>
    <w:rsid w:val="006D35BE"/>
    <w:rsid w:val="006D7057"/>
    <w:rsid w:val="006F080F"/>
    <w:rsid w:val="007067A0"/>
    <w:rsid w:val="007560FC"/>
    <w:rsid w:val="007E73B0"/>
    <w:rsid w:val="00847F39"/>
    <w:rsid w:val="009C2EEF"/>
    <w:rsid w:val="00A337D9"/>
    <w:rsid w:val="00AF4363"/>
    <w:rsid w:val="00BF2750"/>
    <w:rsid w:val="00D81D45"/>
    <w:rsid w:val="00DD46A4"/>
    <w:rsid w:val="00ED188E"/>
    <w:rsid w:val="00FB29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15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rPr>
  </w:style>
  <w:style w:type="paragraph" w:styleId="Titolo1">
    <w:name w:val="heading 1"/>
    <w:basedOn w:val="Normale"/>
    <w:next w:val="Normale"/>
    <w:uiPriority w:val="9"/>
    <w:qFormat/>
    <w:pPr>
      <w:keepNext/>
      <w:numPr>
        <w:numId w:val="1"/>
      </w:numPr>
      <w:spacing w:before="120" w:after="120"/>
      <w:outlineLvl w:val="0"/>
    </w:pPr>
    <w:rPr>
      <w:rFonts w:ascii="Arial" w:hAnsi="Arial"/>
      <w:b/>
      <w:sz w:val="22"/>
    </w:rPr>
  </w:style>
  <w:style w:type="paragraph" w:styleId="Titolo2">
    <w:name w:val="heading 2"/>
    <w:basedOn w:val="Normale"/>
    <w:next w:val="Normale"/>
    <w:uiPriority w:val="9"/>
    <w:unhideWhenUsed/>
    <w:qFormat/>
    <w:pPr>
      <w:keepNext/>
      <w:jc w:val="center"/>
      <w:outlineLvl w:val="1"/>
    </w:pPr>
    <w:rPr>
      <w:i/>
      <w:iCs/>
    </w:rPr>
  </w:style>
  <w:style w:type="paragraph" w:styleId="Titolo3">
    <w:name w:val="heading 3"/>
    <w:basedOn w:val="Normale"/>
    <w:next w:val="Normale"/>
    <w:uiPriority w:val="9"/>
    <w:unhideWhenUsed/>
    <w:qFormat/>
    <w:pPr>
      <w:keepNext/>
      <w:jc w:val="center"/>
      <w:outlineLvl w:val="2"/>
    </w:pPr>
    <w:rPr>
      <w:b/>
      <w:bCs/>
      <w:i/>
      <w:iCs/>
    </w:rPr>
  </w:style>
  <w:style w:type="paragraph" w:styleId="Titolo4">
    <w:name w:val="heading 4"/>
    <w:basedOn w:val="Normale"/>
    <w:next w:val="Normale"/>
    <w:uiPriority w:val="9"/>
    <w:unhideWhenUsed/>
    <w:qFormat/>
    <w:pPr>
      <w:keepNext/>
      <w:jc w:val="center"/>
      <w:outlineLvl w:val="3"/>
    </w:pPr>
    <w:rPr>
      <w:b/>
      <w:bCs/>
    </w:rPr>
  </w:style>
  <w:style w:type="paragraph" w:styleId="Titolo5">
    <w:name w:val="heading 5"/>
    <w:basedOn w:val="Normale"/>
    <w:next w:val="Normale"/>
    <w:uiPriority w:val="9"/>
    <w:semiHidden/>
    <w:unhideWhenUsed/>
    <w:qFormat/>
    <w:pPr>
      <w:keepNext/>
      <w:spacing w:line="360" w:lineRule="auto"/>
      <w:jc w:val="center"/>
      <w:outlineLvl w:val="4"/>
    </w:pPr>
    <w:rPr>
      <w:rFonts w:ascii="Comic Sans MS" w:hAnsi="Comic Sans MS"/>
      <w:sz w:val="28"/>
    </w:rPr>
  </w:style>
  <w:style w:type="paragraph" w:styleId="Titolo6">
    <w:name w:val="heading 6"/>
    <w:basedOn w:val="Normale"/>
    <w:next w:val="Normale"/>
    <w:uiPriority w:val="9"/>
    <w:semiHidden/>
    <w:unhideWhenUsed/>
    <w:qFormat/>
    <w:pPr>
      <w:keepNext/>
      <w:outlineLvl w:val="5"/>
    </w:pPr>
    <w:rPr>
      <w:rFonts w:ascii="Arial" w:hAnsi="Arial" w:cs="Arial"/>
      <w:b/>
      <w:bCs/>
      <w:sz w:val="20"/>
      <w:szCs w:val="20"/>
    </w:rPr>
  </w:style>
  <w:style w:type="paragraph" w:styleId="Titolo7">
    <w:name w:val="heading 7"/>
    <w:basedOn w:val="Normale"/>
    <w:next w:val="Normale"/>
    <w:pPr>
      <w:keepNext/>
      <w:autoSpaceDE w:val="0"/>
      <w:jc w:val="center"/>
      <w:outlineLvl w:val="6"/>
    </w:pPr>
    <w:rPr>
      <w:rFonts w:ascii="Arial" w:hAnsi="Arial" w:cs="Arial"/>
      <w:b/>
      <w:bCs/>
      <w:color w:val="000000"/>
      <w:sz w:val="20"/>
      <w:szCs w:val="20"/>
    </w:rPr>
  </w:style>
  <w:style w:type="paragraph" w:styleId="Titolo8">
    <w:name w:val="heading 8"/>
    <w:basedOn w:val="Normale"/>
    <w:next w:val="Normale"/>
    <w:pPr>
      <w:keepNext/>
      <w:jc w:val="center"/>
      <w:outlineLvl w:val="7"/>
    </w:pPr>
    <w:rPr>
      <w:rFonts w:ascii="Arial" w:hAnsi="Arial" w:cs="Arial"/>
      <w:b/>
      <w:bCs/>
      <w:sz w:val="20"/>
      <w:szCs w:val="20"/>
    </w:rPr>
  </w:style>
  <w:style w:type="paragraph" w:styleId="Titolo9">
    <w:name w:val="heading 9"/>
    <w:basedOn w:val="Normale"/>
    <w:next w:val="Normale"/>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WWOutlineListStyle">
    <w:name w:val="WW_OutlineListStyle"/>
    <w:basedOn w:val="Nessunelenco"/>
    <w:pPr>
      <w:numPr>
        <w:numId w:val="1"/>
      </w:numPr>
    </w:p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styleId="Corpotesto">
    <w:name w:val="Body Text"/>
    <w:basedOn w:val="Normale"/>
    <w:pPr>
      <w:overflowPunct w:val="0"/>
      <w:autoSpaceDE w:val="0"/>
      <w:jc w:val="center"/>
    </w:pPr>
    <w:rPr>
      <w:rFonts w:ascii="Comic Sans MS" w:hAnsi="Comic Sans MS"/>
      <w:i/>
      <w:sz w:val="14"/>
      <w:szCs w:val="20"/>
    </w:rPr>
  </w:style>
  <w:style w:type="paragraph" w:styleId="Mappadocumento">
    <w:name w:val="Document Map"/>
    <w:basedOn w:val="Normale"/>
    <w:pPr>
      <w:shd w:val="clear" w:color="auto" w:fill="000080"/>
    </w:pPr>
    <w:rPr>
      <w:rFonts w:ascii="Tahoma" w:hAnsi="Tahoma" w:cs="Tahoma"/>
    </w:rPr>
  </w:style>
  <w:style w:type="paragraph" w:styleId="Testofumetto">
    <w:name w:val="Balloon Text"/>
    <w:basedOn w:val="Normale"/>
    <w:rPr>
      <w:rFonts w:ascii="Tahoma" w:hAnsi="Tahoma" w:cs="Tahoma"/>
      <w:sz w:val="16"/>
      <w:szCs w:val="16"/>
    </w:rPr>
  </w:style>
  <w:style w:type="paragraph" w:styleId="Corpodeltesto3">
    <w:name w:val="Body Text 3"/>
    <w:basedOn w:val="Normale"/>
    <w:pPr>
      <w:pBdr>
        <w:top w:val="single" w:sz="4" w:space="1" w:color="000000"/>
        <w:left w:val="single" w:sz="4" w:space="4" w:color="000000"/>
        <w:bottom w:val="single" w:sz="4" w:space="1" w:color="000000"/>
        <w:right w:val="single" w:sz="4" w:space="4" w:color="000000"/>
      </w:pBdr>
    </w:pPr>
    <w:rPr>
      <w:b/>
      <w:bCs/>
    </w:rPr>
  </w:style>
  <w:style w:type="paragraph" w:customStyle="1" w:styleId="Corpodeltesto21">
    <w:name w:val="Corpo del testo 21"/>
    <w:basedOn w:val="Normale"/>
    <w:pPr>
      <w:jc w:val="both"/>
    </w:pPr>
  </w:style>
  <w:style w:type="paragraph" w:customStyle="1" w:styleId="Corpodeltesto31">
    <w:name w:val="Corpo del testo 31"/>
    <w:basedOn w:val="Normale"/>
    <w:pPr>
      <w:pBdr>
        <w:top w:val="single" w:sz="6" w:space="1" w:color="000000"/>
        <w:left w:val="single" w:sz="6" w:space="4" w:color="000000"/>
        <w:bottom w:val="single" w:sz="6" w:space="1" w:color="000000"/>
        <w:right w:val="single" w:sz="6" w:space="4" w:color="000000"/>
      </w:pBdr>
    </w:pPr>
    <w:rPr>
      <w:b/>
    </w:rPr>
  </w:style>
  <w:style w:type="character" w:styleId="Collegamentoipertestuale">
    <w:name w:val="Hyperlink"/>
    <w:rPr>
      <w:color w:val="0000FF"/>
      <w:u w:val="single"/>
    </w:rPr>
  </w:style>
  <w:style w:type="paragraph" w:customStyle="1" w:styleId="microblujustify">
    <w:name w:val="microblujustify"/>
    <w:basedOn w:val="Normale"/>
    <w:pPr>
      <w:spacing w:before="100" w:after="100"/>
    </w:pPr>
  </w:style>
  <w:style w:type="character" w:styleId="Collegamentovisitato">
    <w:name w:val="FollowedHyperlink"/>
    <w:rPr>
      <w:color w:val="800080"/>
      <w:u w:val="single"/>
    </w:rPr>
  </w:style>
  <w:style w:type="paragraph" w:customStyle="1" w:styleId="BodyText21">
    <w:name w:val="Body Text 21"/>
    <w:basedOn w:val="Normale"/>
    <w:pPr>
      <w:jc w:val="both"/>
    </w:pPr>
  </w:style>
  <w:style w:type="paragraph" w:customStyle="1" w:styleId="Default">
    <w:name w:val="Default"/>
    <w:pPr>
      <w:suppressAutoHyphens/>
      <w:autoSpaceDE w:val="0"/>
    </w:pPr>
    <w:rPr>
      <w:rFonts w:ascii="Calibri" w:hAnsi="Calibri" w:cs="Calibri"/>
      <w:color w:val="000000"/>
      <w:sz w:val="24"/>
      <w:szCs w:val="24"/>
    </w:rPr>
  </w:style>
  <w:style w:type="character" w:styleId="Rimandocommento">
    <w:name w:val="annotation reference"/>
    <w:rPr>
      <w:sz w:val="16"/>
      <w:szCs w:val="16"/>
    </w:rPr>
  </w:style>
  <w:style w:type="paragraph" w:styleId="Testocommento">
    <w:name w:val="annotation text"/>
    <w:basedOn w:val="Normale"/>
    <w:rPr>
      <w:sz w:val="20"/>
      <w:szCs w:val="20"/>
    </w:rPr>
  </w:style>
  <w:style w:type="character" w:customStyle="1" w:styleId="TestocommentoCarattere">
    <w:name w:val="Testo commento Carattere"/>
    <w:basedOn w:val="Carpredefinitoparagrafo"/>
  </w:style>
  <w:style w:type="paragraph" w:styleId="Soggettocommento">
    <w:name w:val="annotation subject"/>
    <w:basedOn w:val="Testocommento"/>
    <w:next w:val="Testocommento"/>
    <w:rPr>
      <w:b/>
      <w:bCs/>
    </w:rPr>
  </w:style>
  <w:style w:type="character" w:customStyle="1" w:styleId="SoggettocommentoCarattere">
    <w:name w:val="Soggetto commento Carattere"/>
    <w:rPr>
      <w:b/>
      <w:bCs/>
    </w:rPr>
  </w:style>
  <w:style w:type="paragraph" w:styleId="Revisione">
    <w:name w:val="Revision"/>
    <w:pPr>
      <w:suppressAutoHyphens/>
    </w:pPr>
    <w:rPr>
      <w:sz w:val="24"/>
      <w:szCs w:val="24"/>
    </w:rPr>
  </w:style>
  <w:style w:type="character" w:customStyle="1" w:styleId="Titolo1Carattere">
    <w:name w:val="Titolo 1 Carattere"/>
    <w:rPr>
      <w:rFonts w:ascii="Arial" w:hAnsi="Arial"/>
      <w:b/>
      <w:sz w:val="22"/>
      <w:szCs w:val="24"/>
    </w:rPr>
  </w:style>
  <w:style w:type="paragraph" w:styleId="NormaleWeb">
    <w:name w:val="Normal (Web)"/>
    <w:basedOn w:val="Normale"/>
    <w:pPr>
      <w:spacing w:before="100" w:after="100"/>
    </w:pPr>
  </w:style>
  <w:style w:type="paragraph" w:styleId="Paragrafoelenco">
    <w:name w:val="List Paragraph"/>
    <w:basedOn w:val="Normale"/>
    <w:pPr>
      <w:ind w:left="720"/>
    </w:pPr>
  </w:style>
  <w:style w:type="character" w:customStyle="1" w:styleId="PidipaginaCarattere">
    <w:name w:val="Piè di pagina Carattere"/>
    <w:basedOn w:val="Carpredefinitoparagrafo"/>
    <w:rPr>
      <w:sz w:val="24"/>
      <w:szCs w:val="24"/>
    </w:rPr>
  </w:style>
  <w:style w:type="paragraph" w:customStyle="1" w:styleId="Indirizzi">
    <w:name w:val="Indirizzi"/>
    <w:basedOn w:val="Normale"/>
    <w:pPr>
      <w:spacing w:line="150" w:lineRule="exact"/>
    </w:pPr>
    <w:rPr>
      <w:rFonts w:ascii="Arial" w:eastAsia="Calibri" w:hAnsi="Arial"/>
      <w:color w:val="002F87"/>
      <w:sz w:val="13"/>
      <w:lang w:eastAsia="en-US"/>
    </w:rPr>
  </w:style>
  <w:style w:type="paragraph" w:customStyle="1" w:styleId="TitoloDocumento">
    <w:name w:val="Titolo Documento"/>
    <w:basedOn w:val="Normale"/>
    <w:pPr>
      <w:keepNext/>
      <w:spacing w:line="276" w:lineRule="auto"/>
    </w:pPr>
    <w:rPr>
      <w:rFonts w:ascii="Arial" w:hAnsi="Arial" w:cs="Arial"/>
      <w:b/>
      <w:color w:val="004288"/>
      <w:sz w:val="36"/>
    </w:rPr>
  </w:style>
  <w:style w:type="paragraph" w:styleId="Titolo">
    <w:name w:val="Title"/>
    <w:basedOn w:val="Normale"/>
    <w:next w:val="Normale"/>
    <w:uiPriority w:val="10"/>
    <w:qFormat/>
    <w:rPr>
      <w:rFonts w:ascii="Cambria" w:eastAsia="MS Gothic" w:hAnsi="Cambria"/>
      <w:spacing w:val="-10"/>
      <w:kern w:val="3"/>
      <w:sz w:val="56"/>
      <w:szCs w:val="56"/>
    </w:rPr>
  </w:style>
  <w:style w:type="character" w:customStyle="1" w:styleId="TitoloCarattere">
    <w:name w:val="Titolo Carattere"/>
    <w:basedOn w:val="Carpredefinitoparagrafo"/>
    <w:rPr>
      <w:rFonts w:ascii="Cambria" w:eastAsia="MS Gothic" w:hAnsi="Cambria" w:cs="Times New Roman"/>
      <w:spacing w:val="-10"/>
      <w:kern w:val="3"/>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ctconsip@postacert.consip.i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3928</Words>
  <Characters>23981</Characters>
  <Application>Microsoft Office Word</Application>
  <DocSecurity>0</DocSecurity>
  <Lines>475</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2026-01-21T16:35:00Z</dcterms:created>
  <dcterms:modified xsi:type="dcterms:W3CDTF">2026-01-22T13:37:00Z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31fa3c58,7da0d291,4c0edc5f</vt:lpwstr>
  </property>
  <property fmtid="{D5CDD505-2E9C-101B-9397-08002B2CF9AE}" pid="3" name="ClassificationContentMarkingHeaderFontProps">
    <vt:lpwstr>#000000,10,Aptos</vt:lpwstr>
  </property>
  <property fmtid="{D5CDD505-2E9C-101B-9397-08002B2CF9AE}" pid="4" name="ClassificationContentMarkingHeaderText">
    <vt:lpwstr>Diffusione Limitata</vt:lpwstr>
  </property>
  <property fmtid="{D5CDD505-2E9C-101B-9397-08002B2CF9AE}" pid="5" name="MSIP_Label_3786ba02-99ae-4f4f-9558-30470b81ac0e_Enabled">
    <vt:lpwstr>true</vt:lpwstr>
  </property>
  <property fmtid="{D5CDD505-2E9C-101B-9397-08002B2CF9AE}" pid="6" name="MSIP_Label_3786ba02-99ae-4f4f-9558-30470b81ac0e_SetDate">
    <vt:lpwstr>2026-01-21T13:29:44Z</vt:lpwstr>
  </property>
  <property fmtid="{D5CDD505-2E9C-101B-9397-08002B2CF9AE}" pid="7" name="MSIP_Label_3786ba02-99ae-4f4f-9558-30470b81ac0e_Method">
    <vt:lpwstr>Standard</vt:lpwstr>
  </property>
  <property fmtid="{D5CDD505-2E9C-101B-9397-08002B2CF9AE}" pid="8" name="MSIP_Label_3786ba02-99ae-4f4f-9558-30470b81ac0e_Name">
    <vt:lpwstr>Controllo Completo(Non protetto)</vt:lpwstr>
  </property>
  <property fmtid="{D5CDD505-2E9C-101B-9397-08002B2CF9AE}" pid="9" name="MSIP_Label_3786ba02-99ae-4f4f-9558-30470b81ac0e_SiteId">
    <vt:lpwstr>e2628090-5865-4e15-a2c3-1367e1ce7dd2</vt:lpwstr>
  </property>
  <property fmtid="{D5CDD505-2E9C-101B-9397-08002B2CF9AE}" pid="10" name="MSIP_Label_3786ba02-99ae-4f4f-9558-30470b81ac0e_ActionId">
    <vt:lpwstr>9d81d7d5-8597-4891-a818-8c3ff1ea8a3a</vt:lpwstr>
  </property>
  <property fmtid="{D5CDD505-2E9C-101B-9397-08002B2CF9AE}" pid="11" name="MSIP_Label_3786ba02-99ae-4f4f-9558-30470b81ac0e_ContentBits">
    <vt:lpwstr>1</vt:lpwstr>
  </property>
  <property fmtid="{D5CDD505-2E9C-101B-9397-08002B2CF9AE}" pid="12" name="MSIP_Label_3786ba02-99ae-4f4f-9558-30470b81ac0e_Tag">
    <vt:lpwstr>10, 3, 0, 1</vt:lpwstr>
  </property>
</Properties>
</file>