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4923F4ED" w:rsidR="006C414B" w:rsidRPr="008B19A2" w:rsidRDefault="00A82C5B">
      <w:pPr>
        <w:pStyle w:val="Titolocopertina"/>
        <w:ind w:left="284"/>
        <w:rPr>
          <w:color w:val="0077CF"/>
        </w:rPr>
      </w:pPr>
      <w:r w:rsidRPr="008B19A2">
        <w:rPr>
          <w:color w:val="0077CF"/>
        </w:rPr>
        <w:t xml:space="preserve">GARA PER </w:t>
      </w:r>
      <w:r w:rsidR="00BA3061">
        <w:rPr>
          <w:color w:val="0077CF"/>
        </w:rPr>
        <w:t>L’</w:t>
      </w:r>
      <w:r w:rsidR="00BA3061" w:rsidRPr="00BA3061">
        <w:rPr>
          <w:color w:val="0077CF"/>
        </w:rPr>
        <w:t>ACQUISIZIONE DI 3 NASTROTECHE ROBOTIZZATE IBM</w:t>
      </w:r>
      <w:r w:rsidR="002A78FE">
        <w:rPr>
          <w:color w:val="0077CF"/>
        </w:rPr>
        <w:t xml:space="preserve"> PER SOGEI</w:t>
      </w:r>
    </w:p>
    <w:p w14:paraId="37E72927" w14:textId="77777777" w:rsidR="006C414B" w:rsidRPr="008B19A2"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8B19A2" w:rsidRDefault="00A82C5B">
      <w:pPr>
        <w:pStyle w:val="Titoli14bold"/>
        <w:ind w:left="284"/>
        <w:rPr>
          <w:color w:val="0077CF"/>
        </w:rPr>
      </w:pPr>
      <w:r w:rsidRPr="008B19A2">
        <w:rPr>
          <w:color w:val="0077CF"/>
        </w:rPr>
        <w:t>DOCUMENTO DI CONSULTAZIONE DEL MERCATO</w:t>
      </w:r>
    </w:p>
    <w:p w14:paraId="241B86FD" w14:textId="77777777" w:rsidR="006C414B" w:rsidRPr="008B19A2" w:rsidRDefault="00A82C5B">
      <w:pPr>
        <w:pStyle w:val="Titoli14bold"/>
        <w:ind w:left="284"/>
        <w:rPr>
          <w:color w:val="0077CF"/>
        </w:rPr>
      </w:pPr>
      <w:r w:rsidRPr="008B19A2">
        <w:rPr>
          <w:color w:val="0077CF"/>
        </w:rPr>
        <w:t>QUESTIONARIO GENERALE</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744437" w:rsidRDefault="00A82C5B">
      <w:pPr>
        <w:spacing w:line="276" w:lineRule="auto"/>
        <w:ind w:left="284"/>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72B45D1F" w14:textId="77777777" w:rsidR="006C414B" w:rsidRPr="00744437" w:rsidRDefault="006C414B">
      <w:pPr>
        <w:spacing w:line="276" w:lineRule="auto"/>
        <w:ind w:left="284"/>
        <w:jc w:val="both"/>
        <w:rPr>
          <w:rFonts w:asciiTheme="minorHAnsi" w:hAnsiTheme="minorHAnsi" w:cs="Arial"/>
          <w:bCs/>
          <w:color w:val="000000" w:themeColor="text1"/>
          <w:sz w:val="20"/>
          <w:szCs w:val="20"/>
        </w:rPr>
      </w:pPr>
    </w:p>
    <w:p w14:paraId="0C65627B" w14:textId="61D4AADD" w:rsidR="006C414B" w:rsidRPr="0064174F" w:rsidRDefault="005F543C">
      <w:pPr>
        <w:spacing w:line="276" w:lineRule="auto"/>
        <w:ind w:left="284"/>
        <w:jc w:val="both"/>
        <w:rPr>
          <w:rFonts w:ascii="Arial" w:hAnsi="Arial" w:cs="Arial"/>
          <w:sz w:val="20"/>
          <w:szCs w:val="20"/>
        </w:rPr>
      </w:pPr>
      <w:hyperlink r:id="rId11" w:history="1">
        <w:r w:rsidRPr="0064174F">
          <w:rPr>
            <w:rFonts w:ascii="Arial" w:hAnsi="Arial" w:cs="Arial"/>
            <w:sz w:val="20"/>
            <w:szCs w:val="20"/>
          </w:rPr>
          <w:t>ictconsip@postacert.consip.it</w:t>
        </w:r>
      </w:hyperlink>
      <w:r w:rsidR="0064174F">
        <w:rPr>
          <w:rFonts w:ascii="Arial" w:hAnsi="Arial" w:cs="Arial"/>
          <w:sz w:val="20"/>
          <w:szCs w:val="20"/>
        </w:rPr>
        <w:t xml:space="preserve"> </w:t>
      </w:r>
      <w:r w:rsidRPr="0064174F">
        <w:rPr>
          <w:rFonts w:ascii="Arial" w:hAnsi="Arial" w:cs="Arial"/>
          <w:sz w:val="20"/>
          <w:szCs w:val="20"/>
        </w:rPr>
        <w:t xml:space="preserve"> </w:t>
      </w:r>
    </w:p>
    <w:p w14:paraId="287FB1AC" w14:textId="77777777" w:rsidR="006C414B" w:rsidRPr="008B19A2" w:rsidRDefault="006C414B">
      <w:pPr>
        <w:spacing w:line="276" w:lineRule="auto"/>
        <w:ind w:left="284"/>
        <w:jc w:val="both"/>
        <w:rPr>
          <w:rFonts w:asciiTheme="minorHAnsi" w:hAnsiTheme="minorHAnsi" w:cs="Arial"/>
          <w:b/>
          <w:bCs/>
          <w:color w:val="0077CF"/>
          <w:sz w:val="20"/>
          <w:szCs w:val="20"/>
        </w:rPr>
      </w:pP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301BD28D" w:rsidR="006C414B" w:rsidRDefault="00A82C5B">
      <w:pPr>
        <w:spacing w:line="276" w:lineRule="auto"/>
        <w:ind w:left="284"/>
        <w:jc w:val="both"/>
        <w:rPr>
          <w:rFonts w:asciiTheme="minorHAnsi" w:hAnsiTheme="minorHAnsi" w:cs="Arial"/>
          <w:bCs/>
          <w:sz w:val="20"/>
          <w:szCs w:val="20"/>
        </w:rPr>
      </w:pPr>
      <w:r>
        <w:rPr>
          <w:rFonts w:asciiTheme="minorHAnsi" w:hAnsiTheme="minorHAnsi" w:cs="Arial"/>
          <w:bCs/>
          <w:sz w:val="20"/>
          <w:szCs w:val="20"/>
        </w:rPr>
        <w:t>Roma,</w:t>
      </w:r>
      <w:r w:rsidR="00CA628D" w:rsidRPr="00CA628D">
        <w:rPr>
          <w:rFonts w:asciiTheme="minorHAnsi" w:hAnsiTheme="minorHAnsi" w:cs="Arial"/>
          <w:bCs/>
          <w:sz w:val="20"/>
          <w:szCs w:val="20"/>
        </w:rPr>
        <w:t xml:space="preserve"> 08/04/2026</w:t>
      </w:r>
    </w:p>
    <w:p w14:paraId="3A7C07DC" w14:textId="77777777" w:rsidR="006C414B" w:rsidRDefault="00A82C5B">
      <w:pPr>
        <w:ind w:left="284"/>
        <w:rPr>
          <w:rFonts w:asciiTheme="minorHAnsi" w:hAnsiTheme="minorHAnsi" w:cs="Arial"/>
          <w:bCs/>
          <w:sz w:val="20"/>
          <w:szCs w:val="20"/>
        </w:rPr>
      </w:pPr>
      <w:r>
        <w:rPr>
          <w:rFonts w:asciiTheme="minorHAnsi" w:hAnsiTheme="minorHAnsi" w:cs="Arial"/>
          <w:bCs/>
          <w:sz w:val="20"/>
          <w:szCs w:val="20"/>
        </w:rPr>
        <w:br w:type="page"/>
      </w:r>
    </w:p>
    <w:p w14:paraId="434657F7" w14:textId="78CDDC08"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r w:rsidRPr="00744437">
        <w:rPr>
          <w:rFonts w:ascii="Arial" w:hAnsi="Arial" w:cs="Arial"/>
          <w:b/>
          <w:bCs/>
          <w:color w:val="0077CF"/>
          <w:sz w:val="22"/>
          <w:szCs w:val="22"/>
        </w:rPr>
        <w:tab/>
      </w:r>
    </w:p>
    <w:p w14:paraId="6C209BC2" w14:textId="77777777" w:rsidR="00744437" w:rsidRPr="00744437" w:rsidRDefault="00744437" w:rsidP="00216305">
      <w:pPr>
        <w:spacing w:line="300" w:lineRule="atLeast"/>
        <w:ind w:left="284"/>
        <w:jc w:val="both"/>
        <w:rPr>
          <w:rFonts w:ascii="Arial" w:hAnsi="Arial" w:cs="Arial"/>
          <w:bCs/>
          <w:color w:val="0077CF"/>
          <w:sz w:val="20"/>
          <w:szCs w:val="20"/>
        </w:rPr>
      </w:pPr>
    </w:p>
    <w:p w14:paraId="75C58726" w14:textId="77777777" w:rsidR="006C414B" w:rsidRPr="004E275E" w:rsidRDefault="00A82C5B" w:rsidP="00216305">
      <w:pPr>
        <w:spacing w:line="300" w:lineRule="atLeast"/>
        <w:ind w:left="284"/>
        <w:jc w:val="both"/>
        <w:rPr>
          <w:rFonts w:ascii="Arial" w:hAnsi="Arial" w:cs="Arial"/>
          <w:sz w:val="20"/>
          <w:szCs w:val="20"/>
        </w:rPr>
      </w:pPr>
      <w:r w:rsidRPr="004E275E">
        <w:rPr>
          <w:rFonts w:ascii="Arial" w:hAnsi="Arial" w:cs="Arial"/>
          <w:sz w:val="20"/>
          <w:szCs w:val="20"/>
        </w:rPr>
        <w:t>Nell'ambito delle attività contrattuali poste in essere dalla SOGEI S.p.A., Consip S.p.A., tramite apposita Convenzione nonché dall’art. 4, comma 3-bis e comma 3-ter del D.L. n. 95/2012, convertito con L. n. 135/2012, svolge il ruolo di Centrale di Committenza. In ragione del ruolo rivestito, la Consip S.p.a., intende quindi procedere alla pubblicazione della presente Consultazione del mercato.</w:t>
      </w:r>
    </w:p>
    <w:p w14:paraId="748E728F" w14:textId="77777777" w:rsidR="006C414B" w:rsidRPr="00744437" w:rsidRDefault="006C414B" w:rsidP="00216305">
      <w:pPr>
        <w:pStyle w:val="BodyText21"/>
        <w:spacing w:line="300" w:lineRule="atLeast"/>
        <w:ind w:left="284"/>
        <w:rPr>
          <w:rFonts w:ascii="Arial" w:hAnsi="Arial" w:cs="Arial"/>
          <w:bCs/>
          <w:sz w:val="20"/>
          <w:szCs w:val="20"/>
        </w:rPr>
      </w:pPr>
    </w:p>
    <w:p w14:paraId="17CDDCCD" w14:textId="77777777" w:rsidR="006C414B" w:rsidRPr="00744437"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 xml:space="preserve">ha l’obiettivo di: </w:t>
      </w:r>
    </w:p>
    <w:p w14:paraId="4F9C59E5" w14:textId="77777777" w:rsidR="006C414B" w:rsidRPr="004E275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4E275E">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4E275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4E275E">
        <w:rPr>
          <w:rFonts w:ascii="Arial" w:hAnsi="Arial" w:cs="Arial"/>
          <w:sz w:val="20"/>
          <w:szCs w:val="20"/>
        </w:rPr>
        <w:t>ottenere la più proficua partecipazione da parte dei soggetti interessati;</w:t>
      </w:r>
    </w:p>
    <w:p w14:paraId="54F7C2D3" w14:textId="77777777" w:rsidR="006C414B" w:rsidRPr="004E275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4E275E">
        <w:rPr>
          <w:rFonts w:ascii="Arial" w:hAnsi="Arial" w:cs="Arial"/>
          <w:sz w:val="20"/>
          <w:szCs w:val="20"/>
        </w:rPr>
        <w:t>pubblicizzare al meglio le caratteristiche qualitative e tecniche dei beni e servizi oggetto di analisi;</w:t>
      </w:r>
    </w:p>
    <w:p w14:paraId="3FF9F09E" w14:textId="77777777" w:rsidR="006C414B" w:rsidRPr="004E275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4E275E">
        <w:rPr>
          <w:rFonts w:ascii="Arial" w:hAnsi="Arial" w:cs="Arial"/>
          <w:sz w:val="20"/>
          <w:szCs w:val="20"/>
        </w:rPr>
        <w:t>ricevere, da parte dei soggetti interessati, osservazioni e suggerimenti per una più compiuta conoscenza del mercato;</w:t>
      </w:r>
    </w:p>
    <w:p w14:paraId="7290C0AD" w14:textId="77777777" w:rsidR="006C414B" w:rsidRPr="004E275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4E275E">
        <w:rPr>
          <w:rFonts w:ascii="Arial" w:hAnsi="Arial" w:cs="Arial"/>
          <w:sz w:val="20"/>
          <w:szCs w:val="20"/>
        </w:rPr>
        <w:t xml:space="preserve">individuare le migliori soluzioni di mercato, con alto contenuto innovativo e forte impatto in termini di efficacia ed efficienza della soluzione proposta, di vantaggio o riduzione di impatti ambientali o sociali rivolti ai propri dipendenti, ai clienti o alla collettività; </w:t>
      </w:r>
    </w:p>
    <w:p w14:paraId="363CA08A" w14:textId="77777777" w:rsidR="006C414B" w:rsidRPr="004E275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4E275E">
        <w:rPr>
          <w:rFonts w:ascii="Arial" w:hAnsi="Arial" w:cs="Arial"/>
          <w:sz w:val="20"/>
          <w:szCs w:val="20"/>
        </w:rPr>
        <w:t>[inserire eventuali altri obiettivi: es. coinvolgere nuove categorie di imprese (come start up, MPMI, ecc.)]</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24FEF158" w14:textId="2AC15B0F"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In merito all’iniziativa “</w:t>
      </w:r>
      <w:r w:rsidR="004E275E" w:rsidRPr="004E275E">
        <w:rPr>
          <w:rFonts w:ascii="Arial" w:hAnsi="Arial" w:cs="Arial"/>
          <w:bCs/>
          <w:sz w:val="20"/>
          <w:szCs w:val="20"/>
        </w:rPr>
        <w:t>ACQUISIZIONE DI 3 NASTROTECHE ROBOTIZZATE IBM PER SOGEI</w:t>
      </w:r>
      <w:r w:rsidRPr="00744437">
        <w:rPr>
          <w:rFonts w:ascii="Arial" w:hAnsi="Arial" w:cs="Arial"/>
          <w:bCs/>
          <w:sz w:val="20"/>
          <w:szCs w:val="20"/>
        </w:rPr>
        <w:t>”</w:t>
      </w:r>
      <w:r w:rsidRPr="00744437">
        <w:rPr>
          <w:rFonts w:ascii="Arial" w:hAnsi="Arial" w:cs="Arial"/>
          <w:bCs/>
          <w:color w:val="0077CF"/>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Pr="00744437">
        <w:rPr>
          <w:rFonts w:ascii="Arial" w:hAnsi="Arial" w:cs="Arial"/>
          <w:b/>
          <w:bCs/>
          <w:sz w:val="20"/>
          <w:szCs w:val="20"/>
          <w:u w:val="single"/>
        </w:rPr>
        <w:t>15 giorni solari</w:t>
      </w:r>
      <w:r w:rsidRPr="00744437">
        <w:rPr>
          <w:rFonts w:ascii="Arial" w:hAnsi="Arial" w:cs="Arial"/>
          <w:bCs/>
          <w:sz w:val="20"/>
          <w:szCs w:val="20"/>
          <w:u w:val="single"/>
        </w:rPr>
        <w:t xml:space="preserve"> dalla data odierna</w:t>
      </w:r>
      <w:r w:rsidRPr="00744437">
        <w:rPr>
          <w:rFonts w:ascii="Arial" w:hAnsi="Arial" w:cs="Arial"/>
          <w:bCs/>
          <w:color w:val="FF0000"/>
          <w:sz w:val="20"/>
          <w:szCs w:val="20"/>
        </w:rPr>
        <w:t xml:space="preserve"> </w:t>
      </w:r>
      <w:r w:rsidRPr="00744437">
        <w:rPr>
          <w:rFonts w:ascii="Arial" w:hAnsi="Arial" w:cs="Arial"/>
          <w:bCs/>
          <w:sz w:val="20"/>
          <w:szCs w:val="20"/>
        </w:rPr>
        <w:t xml:space="preserve">all’indirizzo PEC </w:t>
      </w:r>
      <w:hyperlink r:id="rId12" w:history="1">
        <w:r w:rsidRPr="00744437">
          <w:rPr>
            <w:rStyle w:val="Collegamentoipertestuale"/>
            <w:rFonts w:ascii="Arial" w:hAnsi="Arial" w:cs="Arial"/>
            <w:sz w:val="20"/>
            <w:szCs w:val="20"/>
          </w:rPr>
          <w:softHyphen/>
        </w:r>
        <w:r w:rsidRPr="00744437">
          <w:rPr>
            <w:rStyle w:val="Collegamentoipertestuale"/>
            <w:rFonts w:ascii="Arial" w:hAnsi="Arial" w:cs="Arial"/>
            <w:sz w:val="20"/>
            <w:szCs w:val="20"/>
          </w:rPr>
          <w:softHyphen/>
        </w:r>
        <w:r w:rsidRPr="00744437">
          <w:rPr>
            <w:rStyle w:val="Collegamentoipertestuale"/>
            <w:rFonts w:ascii="Arial" w:hAnsi="Arial" w:cs="Arial"/>
            <w:sz w:val="20"/>
            <w:szCs w:val="20"/>
          </w:rPr>
          <w:softHyphen/>
        </w:r>
        <w:r w:rsidR="004E275E" w:rsidRPr="004E275E">
          <w:rPr>
            <w:rStyle w:val="Collegamentoipertestuale"/>
            <w:rFonts w:ascii="Arial" w:hAnsi="Arial" w:cs="Arial"/>
            <w:sz w:val="20"/>
            <w:szCs w:val="20"/>
          </w:rPr>
          <w:t>ictconsip@postacert.consip.it</w:t>
        </w:r>
      </w:hyperlink>
      <w:r w:rsidR="004E275E">
        <w:rPr>
          <w:rFonts w:ascii="Arial" w:hAnsi="Arial" w:cs="Arial"/>
          <w:bCs/>
          <w:sz w:val="20"/>
          <w:szCs w:val="20"/>
        </w:rPr>
        <w:t>.</w:t>
      </w:r>
      <w:r w:rsidRPr="00744437">
        <w:rPr>
          <w:rFonts w:ascii="Arial" w:hAnsi="Arial" w:cs="Arial"/>
          <w:bCs/>
          <w:color w:val="0070C0"/>
          <w:sz w:val="20"/>
          <w:szCs w:val="20"/>
        </w:rPr>
        <w:tab/>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 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w:t>
      </w:r>
      <w:r w:rsidRPr="008B19A2">
        <w:rPr>
          <w:rFonts w:ascii="Arial" w:hAnsi="Arial" w:cs="Arial"/>
          <w:bCs/>
          <w:sz w:val="20"/>
          <w:szCs w:val="20"/>
        </w:rPr>
        <w:lastRenderedPageBreak/>
        <w:t xml:space="preserve">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3"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48432DEA" w:rsidR="006C414B" w:rsidRDefault="00A82C5B" w:rsidP="00744437">
      <w:pPr>
        <w:spacing w:line="300" w:lineRule="atLeast"/>
        <w:rPr>
          <w:rFonts w:ascii="Arial" w:hAnsi="Arial" w:cs="Arial"/>
          <w:b/>
          <w:bCs/>
          <w:color w:val="0077CF"/>
          <w:sz w:val="22"/>
          <w:szCs w:val="22"/>
        </w:rPr>
      </w:pPr>
      <w:r>
        <w:rPr>
          <w:rFonts w:asciiTheme="minorHAnsi" w:hAnsiTheme="minorHAnsi" w:cs="Arial"/>
          <w:b/>
          <w:bCs/>
          <w:sz w:val="20"/>
          <w:szCs w:val="20"/>
        </w:rPr>
        <w:br w:type="page"/>
      </w:r>
      <w:r w:rsidRPr="00817F0F">
        <w:rPr>
          <w:rFonts w:ascii="Arial" w:hAnsi="Arial" w:cs="Arial"/>
          <w:b/>
          <w:bCs/>
          <w:color w:val="0077CF"/>
          <w:sz w:val="22"/>
          <w:szCs w:val="22"/>
        </w:rPr>
        <w:lastRenderedPageBreak/>
        <w:t xml:space="preserve">Breve descrizione dell’iniziativa </w:t>
      </w:r>
    </w:p>
    <w:p w14:paraId="388D7C61" w14:textId="77777777" w:rsidR="00817F0F" w:rsidRDefault="00817F0F" w:rsidP="00744437">
      <w:pPr>
        <w:spacing w:line="360" w:lineRule="auto"/>
        <w:jc w:val="both"/>
        <w:rPr>
          <w:rFonts w:ascii="Arial" w:hAnsi="Arial" w:cs="Arial"/>
          <w:bCs/>
          <w:color w:val="0077CF"/>
          <w:sz w:val="20"/>
          <w:szCs w:val="20"/>
        </w:rPr>
      </w:pPr>
    </w:p>
    <w:p w14:paraId="15B6D40B" w14:textId="77777777" w:rsidR="00431F36" w:rsidRPr="00431F36" w:rsidRDefault="00431F36" w:rsidP="00431F36">
      <w:pPr>
        <w:spacing w:line="360" w:lineRule="auto"/>
        <w:jc w:val="both"/>
        <w:rPr>
          <w:rFonts w:ascii="Arial" w:hAnsi="Arial" w:cs="Arial"/>
          <w:bCs/>
          <w:sz w:val="20"/>
          <w:szCs w:val="20"/>
        </w:rPr>
      </w:pPr>
      <w:r w:rsidRPr="00431F36">
        <w:rPr>
          <w:rFonts w:ascii="Arial" w:hAnsi="Arial" w:cs="Arial"/>
          <w:bCs/>
          <w:sz w:val="20"/>
          <w:szCs w:val="20"/>
        </w:rPr>
        <w:t>I sistemi centrali mainframe costituiscono una componente strategica del Centro di Elaborazione Dati di Sogei e rappresentano, da oltre quarant’anni, la piattaforma di riferimento su cui si basa il nucleo del Sistema Informativo della Fiscalità. Su tale piattaforma sono state sviluppate e operate le principali applicazioni a supporto dei processi fiscali, tra cui l’Anagrafe Tributaria, i servizi telematici al contribuente, la gestione e riscossione dei tributi, i sistemi di controllo e intelligence fiscale, nonché i servizi per la fiscalità locale e per gli enti esterni.</w:t>
      </w:r>
    </w:p>
    <w:p w14:paraId="2FA9D2DB" w14:textId="0E634537" w:rsidR="006C414B" w:rsidRDefault="00431F36" w:rsidP="00431F36">
      <w:pPr>
        <w:spacing w:line="360" w:lineRule="auto"/>
        <w:jc w:val="both"/>
        <w:rPr>
          <w:rFonts w:ascii="Arial" w:hAnsi="Arial" w:cs="Arial"/>
          <w:bCs/>
          <w:sz w:val="20"/>
          <w:szCs w:val="20"/>
        </w:rPr>
      </w:pPr>
      <w:r w:rsidRPr="00431F36">
        <w:rPr>
          <w:rFonts w:ascii="Arial" w:hAnsi="Arial" w:cs="Arial"/>
          <w:bCs/>
          <w:sz w:val="20"/>
          <w:szCs w:val="20"/>
        </w:rPr>
        <w:t xml:space="preserve">In questo contesto si inserisce la soluzione di nastroteca IBM, storicamente integrata negli ambienti z/OS, che ha contribuito in modo determinante alla gestione efficiente degli ambienti di produzione e sviluppo. Nel corso degli anni, tale soluzione si è confermata un elemento essenziale per le attività di backup e archiviazione dei dati, rispondendo efficacemente a requisiti di servizio sempre più stringenti e a carichi di lavoro in continua evoluzione. </w:t>
      </w:r>
    </w:p>
    <w:p w14:paraId="093B3345" w14:textId="77777777" w:rsidR="00792DAC" w:rsidRDefault="00792DAC" w:rsidP="00982F5D">
      <w:pPr>
        <w:spacing w:line="360" w:lineRule="auto"/>
        <w:jc w:val="both"/>
        <w:rPr>
          <w:rFonts w:ascii="Arial" w:hAnsi="Arial" w:cs="Arial"/>
          <w:bCs/>
          <w:sz w:val="20"/>
          <w:szCs w:val="20"/>
        </w:rPr>
      </w:pPr>
    </w:p>
    <w:p w14:paraId="4D056DA9" w14:textId="699B633E" w:rsidR="00982F5D" w:rsidRPr="00982F5D" w:rsidRDefault="00982F5D" w:rsidP="00982F5D">
      <w:pPr>
        <w:spacing w:line="360" w:lineRule="auto"/>
        <w:jc w:val="both"/>
        <w:rPr>
          <w:rFonts w:ascii="Arial" w:hAnsi="Arial" w:cs="Arial"/>
          <w:bCs/>
          <w:sz w:val="20"/>
          <w:szCs w:val="20"/>
        </w:rPr>
      </w:pPr>
      <w:r w:rsidRPr="00982F5D">
        <w:rPr>
          <w:rFonts w:ascii="Arial" w:hAnsi="Arial" w:cs="Arial"/>
          <w:bCs/>
          <w:sz w:val="20"/>
          <w:szCs w:val="20"/>
        </w:rPr>
        <w:t xml:space="preserve">La presente iniziativa ha per oggetto l’acquisizione di: </w:t>
      </w:r>
    </w:p>
    <w:p w14:paraId="644CCA81" w14:textId="77777777" w:rsidR="00982F5D" w:rsidRPr="00F35E8B" w:rsidRDefault="00982F5D" w:rsidP="00F35E8B">
      <w:pPr>
        <w:pStyle w:val="Paragrafoelenco"/>
        <w:numPr>
          <w:ilvl w:val="0"/>
          <w:numId w:val="9"/>
        </w:numPr>
        <w:spacing w:line="360" w:lineRule="auto"/>
        <w:jc w:val="both"/>
        <w:rPr>
          <w:rFonts w:ascii="Arial" w:hAnsi="Arial" w:cs="Arial"/>
          <w:bCs/>
          <w:sz w:val="20"/>
          <w:szCs w:val="20"/>
        </w:rPr>
      </w:pPr>
      <w:bookmarkStart w:id="0" w:name="_Hlk207100353"/>
      <w:r w:rsidRPr="00F35E8B">
        <w:rPr>
          <w:rFonts w:ascii="Arial" w:hAnsi="Arial" w:cs="Arial"/>
          <w:bCs/>
          <w:sz w:val="20"/>
          <w:szCs w:val="20"/>
        </w:rPr>
        <w:t>Acquisizione hardware (HW) di 3 Nastroteche robotizzate IBM TS4500 (2 nel sito Campus Sogei - 1 nel sito di DR) in ambito Mainframe;</w:t>
      </w:r>
    </w:p>
    <w:p w14:paraId="71019618" w14:textId="77777777" w:rsidR="00982F5D" w:rsidRPr="004B632A" w:rsidRDefault="00982F5D" w:rsidP="004B632A">
      <w:pPr>
        <w:pStyle w:val="Paragrafoelenco"/>
        <w:numPr>
          <w:ilvl w:val="0"/>
          <w:numId w:val="9"/>
        </w:numPr>
        <w:spacing w:line="360" w:lineRule="auto"/>
        <w:jc w:val="both"/>
        <w:rPr>
          <w:rFonts w:ascii="Arial" w:hAnsi="Arial" w:cs="Arial"/>
          <w:bCs/>
          <w:sz w:val="20"/>
          <w:szCs w:val="20"/>
        </w:rPr>
      </w:pPr>
      <w:r w:rsidRPr="004B632A">
        <w:rPr>
          <w:rFonts w:ascii="Arial" w:hAnsi="Arial" w:cs="Arial"/>
          <w:bCs/>
          <w:sz w:val="20"/>
          <w:szCs w:val="20"/>
        </w:rPr>
        <w:t>servizi professionali, come successivamente dettagliato.</w:t>
      </w:r>
    </w:p>
    <w:bookmarkEnd w:id="0"/>
    <w:p w14:paraId="05B7A77B" w14:textId="77777777" w:rsidR="004B632A" w:rsidRDefault="004B632A" w:rsidP="00982F5D">
      <w:pPr>
        <w:spacing w:line="360" w:lineRule="auto"/>
        <w:jc w:val="both"/>
        <w:rPr>
          <w:rFonts w:ascii="Arial" w:hAnsi="Arial" w:cs="Arial"/>
          <w:bCs/>
          <w:sz w:val="20"/>
          <w:szCs w:val="20"/>
        </w:rPr>
      </w:pPr>
    </w:p>
    <w:p w14:paraId="64E811C0" w14:textId="564A915E" w:rsidR="00982F5D" w:rsidRPr="00982F5D" w:rsidRDefault="00982F5D" w:rsidP="00982F5D">
      <w:pPr>
        <w:spacing w:line="360" w:lineRule="auto"/>
        <w:jc w:val="both"/>
        <w:rPr>
          <w:rFonts w:ascii="Arial" w:hAnsi="Arial" w:cs="Arial"/>
          <w:bCs/>
          <w:sz w:val="20"/>
          <w:szCs w:val="20"/>
        </w:rPr>
      </w:pPr>
      <w:r w:rsidRPr="00982F5D">
        <w:rPr>
          <w:rFonts w:ascii="Arial" w:hAnsi="Arial" w:cs="Arial"/>
          <w:bCs/>
          <w:sz w:val="20"/>
          <w:szCs w:val="20"/>
        </w:rPr>
        <w:t>Le componenti HW ed i relativi “Servizi professionali”, oggetto della fornitura, possono essere suddivise in due perimetri distinti:</w:t>
      </w:r>
    </w:p>
    <w:p w14:paraId="35FDD67B" w14:textId="77777777" w:rsidR="00982F5D" w:rsidRPr="004B632A" w:rsidRDefault="00982F5D" w:rsidP="0064290F">
      <w:pPr>
        <w:pStyle w:val="Corpotesto"/>
        <w:widowControl w:val="0"/>
        <w:numPr>
          <w:ilvl w:val="1"/>
          <w:numId w:val="8"/>
        </w:numPr>
        <w:spacing w:after="0"/>
        <w:ind w:left="567" w:hanging="567"/>
        <w:rPr>
          <w:rFonts w:ascii="Arial" w:hAnsi="Arial" w:cs="Arial"/>
          <w:b/>
          <w:sz w:val="20"/>
          <w:szCs w:val="20"/>
          <w:u w:val="single"/>
        </w:rPr>
      </w:pPr>
      <w:r w:rsidRPr="004B632A">
        <w:rPr>
          <w:rFonts w:ascii="Arial" w:hAnsi="Arial" w:cs="Arial"/>
          <w:b/>
          <w:sz w:val="20"/>
          <w:szCs w:val="20"/>
          <w:u w:val="single"/>
        </w:rPr>
        <w:t>perimetro base:</w:t>
      </w:r>
    </w:p>
    <w:p w14:paraId="6619FD74" w14:textId="6C48AFAD" w:rsidR="00982F5D" w:rsidRPr="004B632A" w:rsidRDefault="00982F5D" w:rsidP="0064290F">
      <w:pPr>
        <w:pStyle w:val="Corpotesto"/>
        <w:widowControl w:val="0"/>
        <w:numPr>
          <w:ilvl w:val="0"/>
          <w:numId w:val="7"/>
        </w:numPr>
        <w:spacing w:before="151" w:after="0"/>
        <w:ind w:left="992" w:hanging="425"/>
        <w:jc w:val="both"/>
        <w:rPr>
          <w:rFonts w:ascii="Arial" w:hAnsi="Arial" w:cs="Arial"/>
          <w:bCs/>
          <w:sz w:val="20"/>
          <w:szCs w:val="20"/>
        </w:rPr>
      </w:pPr>
      <w:r w:rsidRPr="004B632A">
        <w:rPr>
          <w:rFonts w:ascii="Arial" w:hAnsi="Arial" w:cs="Arial"/>
          <w:bCs/>
          <w:sz w:val="20"/>
          <w:szCs w:val="20"/>
        </w:rPr>
        <w:t>acquisizione hardware di 3 nastroteche robotizzate IBM TS4500 (2 nel sito Campus Sogei - 1 nel sito di DR) in ambito Mainframe; con l’acquisizione delle macchine è prevista anche la manutenzione per 48, che includono 12 mesi di garanzia, in modalità 7/24;</w:t>
      </w:r>
    </w:p>
    <w:p w14:paraId="0E1D4401" w14:textId="66CA9B11" w:rsidR="00982F5D" w:rsidRPr="004B632A" w:rsidRDefault="00982F5D" w:rsidP="0064290F">
      <w:pPr>
        <w:pStyle w:val="Corpotesto"/>
        <w:widowControl w:val="0"/>
        <w:numPr>
          <w:ilvl w:val="0"/>
          <w:numId w:val="7"/>
        </w:numPr>
        <w:spacing w:before="151" w:after="0"/>
        <w:ind w:left="992" w:hanging="425"/>
        <w:jc w:val="both"/>
        <w:rPr>
          <w:rFonts w:ascii="Arial" w:hAnsi="Arial" w:cs="Arial"/>
          <w:bCs/>
          <w:sz w:val="20"/>
          <w:szCs w:val="20"/>
        </w:rPr>
      </w:pPr>
      <w:r w:rsidRPr="004B632A">
        <w:rPr>
          <w:rFonts w:ascii="Arial" w:hAnsi="Arial" w:cs="Arial"/>
          <w:bCs/>
          <w:sz w:val="20"/>
          <w:szCs w:val="20"/>
        </w:rPr>
        <w:t>Servizi Professionali, gestiti a corpo, per l’implementazione e customizzazione dalla della nuova soluzione; tali servizi includono il passaggio in linea della nuova infrastruttura di nastroteca robotizzata, in sostituzione alla vecchia;</w:t>
      </w:r>
    </w:p>
    <w:p w14:paraId="13C68D51" w14:textId="35A59929" w:rsidR="00982F5D" w:rsidRPr="004B632A" w:rsidRDefault="00982F5D" w:rsidP="0064290F">
      <w:pPr>
        <w:pStyle w:val="Corpotesto"/>
        <w:widowControl w:val="0"/>
        <w:numPr>
          <w:ilvl w:val="0"/>
          <w:numId w:val="7"/>
        </w:numPr>
        <w:spacing w:before="151" w:after="0"/>
        <w:ind w:left="992" w:hanging="425"/>
        <w:jc w:val="both"/>
        <w:rPr>
          <w:rFonts w:ascii="Arial" w:hAnsi="Arial" w:cs="Arial"/>
          <w:bCs/>
          <w:sz w:val="20"/>
          <w:szCs w:val="20"/>
        </w:rPr>
      </w:pPr>
      <w:r w:rsidRPr="004B632A">
        <w:rPr>
          <w:rFonts w:ascii="Arial" w:hAnsi="Arial" w:cs="Arial"/>
          <w:bCs/>
          <w:sz w:val="20"/>
          <w:szCs w:val="20"/>
        </w:rPr>
        <w:t>È previsto nella fornitura anche materiale di consumo, che si traduce nell’acquisto di supporti tape di memorizzazione dati e di “</w:t>
      </w:r>
      <w:proofErr w:type="spellStart"/>
      <w:r w:rsidRPr="004B632A">
        <w:rPr>
          <w:rFonts w:ascii="Arial" w:hAnsi="Arial" w:cs="Arial"/>
          <w:bCs/>
          <w:sz w:val="20"/>
          <w:szCs w:val="20"/>
        </w:rPr>
        <w:t>cleaning</w:t>
      </w:r>
      <w:proofErr w:type="spellEnd"/>
      <w:r w:rsidRPr="004B632A">
        <w:rPr>
          <w:rFonts w:ascii="Arial" w:hAnsi="Arial" w:cs="Arial"/>
          <w:bCs/>
          <w:sz w:val="20"/>
          <w:szCs w:val="20"/>
        </w:rPr>
        <w:t xml:space="preserve">”;     </w:t>
      </w:r>
    </w:p>
    <w:p w14:paraId="432823AF" w14:textId="77777777" w:rsidR="00982F5D" w:rsidRPr="004B632A" w:rsidRDefault="00982F5D" w:rsidP="0064290F">
      <w:pPr>
        <w:pStyle w:val="Corpotesto"/>
        <w:widowControl w:val="0"/>
        <w:numPr>
          <w:ilvl w:val="1"/>
          <w:numId w:val="8"/>
        </w:numPr>
        <w:spacing w:after="0"/>
        <w:ind w:left="567" w:hanging="567"/>
        <w:rPr>
          <w:rFonts w:ascii="Arial" w:hAnsi="Arial" w:cs="Arial"/>
          <w:b/>
          <w:sz w:val="20"/>
          <w:szCs w:val="20"/>
          <w:u w:val="single"/>
        </w:rPr>
      </w:pPr>
      <w:r w:rsidRPr="004B632A">
        <w:rPr>
          <w:rFonts w:ascii="Arial" w:hAnsi="Arial" w:cs="Arial"/>
          <w:b/>
          <w:sz w:val="20"/>
          <w:szCs w:val="20"/>
          <w:u w:val="single"/>
        </w:rPr>
        <w:t>perimetro opzionale:</w:t>
      </w:r>
    </w:p>
    <w:p w14:paraId="1CB007B5" w14:textId="75EDC072" w:rsidR="00AE6302" w:rsidRPr="00431F36" w:rsidRDefault="00982F5D" w:rsidP="0064290F">
      <w:pPr>
        <w:pStyle w:val="Corpotesto"/>
        <w:widowControl w:val="0"/>
        <w:numPr>
          <w:ilvl w:val="0"/>
          <w:numId w:val="7"/>
        </w:numPr>
        <w:spacing w:before="151" w:after="0"/>
        <w:ind w:left="992" w:hanging="425"/>
        <w:jc w:val="both"/>
        <w:rPr>
          <w:rFonts w:ascii="Arial" w:hAnsi="Arial" w:cs="Arial"/>
          <w:bCs/>
          <w:sz w:val="20"/>
          <w:szCs w:val="20"/>
        </w:rPr>
      </w:pPr>
      <w:r w:rsidRPr="00F20997">
        <w:rPr>
          <w:rFonts w:ascii="Arial" w:hAnsi="Arial" w:cs="Arial"/>
          <w:bCs/>
          <w:sz w:val="20"/>
          <w:szCs w:val="20"/>
        </w:rPr>
        <w:t>eventuali servizi di supporto specialistico a consumo sulle tecnologie IBM affini a quelle in acquisizione, che la Committente si riserva di richiedere sulla scorta delle esigenze che emergeranno in corso di esecuzione contrattuale.</w:t>
      </w:r>
    </w:p>
    <w:p w14:paraId="210AE2AB" w14:textId="77777777" w:rsidR="006C414B" w:rsidRDefault="006C414B">
      <w:pPr>
        <w:spacing w:line="360" w:lineRule="auto"/>
        <w:ind w:left="284"/>
        <w:jc w:val="both"/>
        <w:rPr>
          <w:rFonts w:ascii="Arial" w:hAnsi="Arial" w:cs="Arial"/>
          <w:bCs/>
          <w:color w:val="FF0000"/>
          <w:sz w:val="20"/>
          <w:szCs w:val="20"/>
        </w:rPr>
      </w:pPr>
    </w:p>
    <w:p w14:paraId="4CFEA0F4" w14:textId="43CF0BB6" w:rsidR="00807CC3" w:rsidRPr="00807CC3" w:rsidRDefault="00807CC3" w:rsidP="00807CC3">
      <w:pPr>
        <w:spacing w:line="360" w:lineRule="auto"/>
        <w:jc w:val="both"/>
        <w:rPr>
          <w:rFonts w:ascii="Arial" w:hAnsi="Arial" w:cs="Arial"/>
          <w:bCs/>
          <w:sz w:val="20"/>
          <w:szCs w:val="20"/>
        </w:rPr>
      </w:pPr>
      <w:r w:rsidRPr="00807CC3">
        <w:rPr>
          <w:rFonts w:ascii="Arial" w:hAnsi="Arial" w:cs="Arial"/>
          <w:bCs/>
          <w:sz w:val="20"/>
          <w:szCs w:val="20"/>
        </w:rPr>
        <w:t xml:space="preserve">Di seguito si riporta il dettaglio delle componenti della nuova nastroteca robotizzata IBM TS4500; la tabella sottostante esprime il numero totale di risorse prese in considerazione che dovranno essere gestite in sostituzione di quanto attualmente in uso. </w:t>
      </w:r>
    </w:p>
    <w:p w14:paraId="5F719292" w14:textId="7DEA287B" w:rsidR="00807CC3" w:rsidRPr="00807CC3" w:rsidRDefault="00807CC3" w:rsidP="00807CC3">
      <w:pPr>
        <w:spacing w:line="360" w:lineRule="auto"/>
        <w:jc w:val="both"/>
        <w:rPr>
          <w:rFonts w:ascii="Arial" w:hAnsi="Arial" w:cs="Arial"/>
          <w:bCs/>
          <w:sz w:val="20"/>
          <w:szCs w:val="20"/>
        </w:rPr>
      </w:pPr>
      <w:r w:rsidRPr="00807CC3">
        <w:rPr>
          <w:rFonts w:ascii="Arial" w:hAnsi="Arial" w:cs="Arial"/>
          <w:bCs/>
          <w:sz w:val="20"/>
          <w:szCs w:val="20"/>
        </w:rPr>
        <w:t xml:space="preserve">Nella tabella </w:t>
      </w:r>
      <w:r w:rsidR="00E34885">
        <w:rPr>
          <w:rFonts w:ascii="Arial" w:hAnsi="Arial" w:cs="Arial"/>
          <w:bCs/>
          <w:sz w:val="20"/>
          <w:szCs w:val="20"/>
        </w:rPr>
        <w:t>seguente</w:t>
      </w:r>
      <w:r w:rsidRPr="00807CC3">
        <w:rPr>
          <w:rFonts w:ascii="Arial" w:hAnsi="Arial" w:cs="Arial"/>
          <w:bCs/>
          <w:sz w:val="20"/>
          <w:szCs w:val="20"/>
        </w:rPr>
        <w:t xml:space="preserve"> - riferita al perimetro base, punto a) e c) </w:t>
      </w:r>
      <w:proofErr w:type="gramStart"/>
      <w:r w:rsidRPr="00807CC3">
        <w:rPr>
          <w:rFonts w:ascii="Arial" w:hAnsi="Arial" w:cs="Arial"/>
          <w:bCs/>
          <w:sz w:val="20"/>
          <w:szCs w:val="20"/>
        </w:rPr>
        <w:t>- ,</w:t>
      </w:r>
      <w:proofErr w:type="gramEnd"/>
      <w:r w:rsidRPr="00807CC3">
        <w:rPr>
          <w:rFonts w:ascii="Arial" w:hAnsi="Arial" w:cs="Arial"/>
          <w:bCs/>
          <w:sz w:val="20"/>
          <w:szCs w:val="20"/>
        </w:rPr>
        <w:t xml:space="preserve"> i dettagli dei componenti coinvolti.</w:t>
      </w:r>
    </w:p>
    <w:p w14:paraId="2310D464" w14:textId="77777777" w:rsidR="00807CC3" w:rsidRDefault="00807CC3" w:rsidP="00807CC3">
      <w:pPr>
        <w:jc w:val="both"/>
        <w:rPr>
          <w:rFonts w:cs="Open Sans"/>
        </w:rPr>
      </w:pPr>
    </w:p>
    <w:tbl>
      <w:tblPr>
        <w:tblW w:w="7600" w:type="dxa"/>
        <w:jc w:val="center"/>
        <w:tblCellMar>
          <w:left w:w="70" w:type="dxa"/>
          <w:right w:w="70" w:type="dxa"/>
        </w:tblCellMar>
        <w:tblLook w:val="04A0" w:firstRow="1" w:lastRow="0" w:firstColumn="1" w:lastColumn="0" w:noHBand="0" w:noVBand="1"/>
      </w:tblPr>
      <w:tblGrid>
        <w:gridCol w:w="2180"/>
        <w:gridCol w:w="4180"/>
        <w:gridCol w:w="1240"/>
      </w:tblGrid>
      <w:tr w:rsidR="00807CC3" w:rsidRPr="00857F26" w14:paraId="00E9B6C7" w14:textId="77777777" w:rsidTr="009A78B7">
        <w:trPr>
          <w:trHeight w:hRule="exact" w:val="525"/>
          <w:jc w:val="center"/>
        </w:trPr>
        <w:tc>
          <w:tcPr>
            <w:tcW w:w="2180" w:type="dxa"/>
            <w:tcBorders>
              <w:top w:val="single" w:sz="8" w:space="0" w:color="auto"/>
              <w:left w:val="single" w:sz="8" w:space="0" w:color="auto"/>
              <w:bottom w:val="single" w:sz="8" w:space="0" w:color="auto"/>
              <w:right w:val="single" w:sz="8" w:space="0" w:color="000000"/>
            </w:tcBorders>
            <w:shd w:val="clear" w:color="000000" w:fill="D8D8D8"/>
            <w:vAlign w:val="center"/>
            <w:hideMark/>
          </w:tcPr>
          <w:p w14:paraId="57B0C2A3" w14:textId="77777777" w:rsidR="00807CC3" w:rsidRPr="00E34885" w:rsidRDefault="00807CC3" w:rsidP="009A78B7">
            <w:pPr>
              <w:jc w:val="center"/>
              <w:rPr>
                <w:rFonts w:ascii="Arial" w:hAnsi="Arial" w:cs="Arial"/>
                <w:b/>
                <w:sz w:val="20"/>
                <w:szCs w:val="20"/>
              </w:rPr>
            </w:pPr>
            <w:r w:rsidRPr="00E34885">
              <w:rPr>
                <w:rFonts w:ascii="Arial" w:hAnsi="Arial" w:cs="Arial"/>
                <w:b/>
                <w:sz w:val="20"/>
                <w:szCs w:val="20"/>
              </w:rPr>
              <w:t>Numero componente</w:t>
            </w:r>
          </w:p>
        </w:tc>
        <w:tc>
          <w:tcPr>
            <w:tcW w:w="4180" w:type="dxa"/>
            <w:tcBorders>
              <w:top w:val="single" w:sz="8" w:space="0" w:color="auto"/>
              <w:left w:val="nil"/>
              <w:bottom w:val="single" w:sz="8" w:space="0" w:color="auto"/>
              <w:right w:val="single" w:sz="8" w:space="0" w:color="000000"/>
            </w:tcBorders>
            <w:shd w:val="clear" w:color="000000" w:fill="D8D8D8"/>
            <w:vAlign w:val="center"/>
            <w:hideMark/>
          </w:tcPr>
          <w:p w14:paraId="3327DDE7" w14:textId="77777777" w:rsidR="00807CC3" w:rsidRPr="00E34885" w:rsidRDefault="00807CC3" w:rsidP="009A78B7">
            <w:pPr>
              <w:rPr>
                <w:rFonts w:ascii="Arial" w:hAnsi="Arial" w:cs="Arial"/>
                <w:b/>
                <w:sz w:val="20"/>
                <w:szCs w:val="20"/>
              </w:rPr>
            </w:pPr>
            <w:r w:rsidRPr="00E34885">
              <w:rPr>
                <w:rFonts w:ascii="Arial" w:hAnsi="Arial" w:cs="Arial"/>
                <w:b/>
                <w:sz w:val="20"/>
                <w:szCs w:val="20"/>
              </w:rPr>
              <w:t>Nome componente</w:t>
            </w:r>
          </w:p>
        </w:tc>
        <w:tc>
          <w:tcPr>
            <w:tcW w:w="1240" w:type="dxa"/>
            <w:tcBorders>
              <w:top w:val="single" w:sz="8" w:space="0" w:color="auto"/>
              <w:left w:val="nil"/>
              <w:bottom w:val="single" w:sz="8" w:space="0" w:color="auto"/>
              <w:right w:val="single" w:sz="8" w:space="0" w:color="auto"/>
            </w:tcBorders>
            <w:shd w:val="clear" w:color="000000" w:fill="D8D8D8"/>
            <w:vAlign w:val="center"/>
            <w:hideMark/>
          </w:tcPr>
          <w:p w14:paraId="1B78B5F8" w14:textId="77777777" w:rsidR="00807CC3" w:rsidRPr="00E34885" w:rsidRDefault="00807CC3" w:rsidP="009A78B7">
            <w:pPr>
              <w:rPr>
                <w:rFonts w:ascii="Arial" w:hAnsi="Arial" w:cs="Arial"/>
                <w:b/>
                <w:sz w:val="20"/>
                <w:szCs w:val="20"/>
              </w:rPr>
            </w:pPr>
            <w:r w:rsidRPr="00E34885">
              <w:rPr>
                <w:rFonts w:ascii="Arial" w:hAnsi="Arial" w:cs="Arial"/>
                <w:b/>
                <w:sz w:val="20"/>
                <w:szCs w:val="20"/>
              </w:rPr>
              <w:t>Note</w:t>
            </w:r>
          </w:p>
        </w:tc>
      </w:tr>
      <w:tr w:rsidR="00807CC3" w:rsidRPr="00857F26" w14:paraId="07C47A45" w14:textId="77777777" w:rsidTr="009A78B7">
        <w:trPr>
          <w:trHeight w:val="315"/>
          <w:jc w:val="center"/>
        </w:trPr>
        <w:tc>
          <w:tcPr>
            <w:tcW w:w="2180" w:type="dxa"/>
            <w:tcBorders>
              <w:top w:val="nil"/>
              <w:left w:val="single" w:sz="8" w:space="0" w:color="000000"/>
              <w:bottom w:val="single" w:sz="8" w:space="0" w:color="000000"/>
              <w:right w:val="single" w:sz="8" w:space="0" w:color="000000"/>
            </w:tcBorders>
            <w:vAlign w:val="center"/>
            <w:hideMark/>
          </w:tcPr>
          <w:p w14:paraId="21158EF1" w14:textId="77777777" w:rsidR="00807CC3" w:rsidRPr="00E34885" w:rsidRDefault="00807CC3" w:rsidP="009A78B7">
            <w:pPr>
              <w:jc w:val="center"/>
              <w:rPr>
                <w:rFonts w:ascii="Arial" w:hAnsi="Arial" w:cs="Arial"/>
                <w:bCs/>
                <w:sz w:val="20"/>
                <w:szCs w:val="20"/>
              </w:rPr>
            </w:pPr>
            <w:r w:rsidRPr="00E34885">
              <w:rPr>
                <w:rFonts w:ascii="Arial" w:hAnsi="Arial" w:cs="Arial"/>
                <w:bCs/>
                <w:sz w:val="20"/>
                <w:szCs w:val="20"/>
              </w:rPr>
              <w:t>3</w:t>
            </w:r>
          </w:p>
        </w:tc>
        <w:tc>
          <w:tcPr>
            <w:tcW w:w="4180" w:type="dxa"/>
            <w:tcBorders>
              <w:top w:val="nil"/>
              <w:left w:val="nil"/>
              <w:bottom w:val="single" w:sz="8" w:space="0" w:color="000000"/>
              <w:right w:val="single" w:sz="8" w:space="0" w:color="000000"/>
            </w:tcBorders>
            <w:vAlign w:val="center"/>
            <w:hideMark/>
          </w:tcPr>
          <w:p w14:paraId="53197231" w14:textId="77777777" w:rsidR="00807CC3" w:rsidRPr="00E34885" w:rsidRDefault="00807CC3" w:rsidP="009A78B7">
            <w:pPr>
              <w:rPr>
                <w:rFonts w:ascii="Arial" w:hAnsi="Arial" w:cs="Arial"/>
                <w:bCs/>
                <w:sz w:val="20"/>
                <w:szCs w:val="20"/>
              </w:rPr>
            </w:pPr>
            <w:r w:rsidRPr="00E34885">
              <w:rPr>
                <w:rFonts w:ascii="Arial" w:hAnsi="Arial" w:cs="Arial"/>
                <w:bCs/>
                <w:sz w:val="20"/>
                <w:szCs w:val="20"/>
              </w:rPr>
              <w:t>Library IBM TS4500</w:t>
            </w:r>
          </w:p>
        </w:tc>
        <w:tc>
          <w:tcPr>
            <w:tcW w:w="1240" w:type="dxa"/>
            <w:tcBorders>
              <w:top w:val="nil"/>
              <w:left w:val="single" w:sz="8" w:space="0" w:color="000000"/>
              <w:bottom w:val="single" w:sz="8" w:space="0" w:color="000000"/>
              <w:right w:val="single" w:sz="8" w:space="0" w:color="000000"/>
            </w:tcBorders>
            <w:vAlign w:val="center"/>
            <w:hideMark/>
          </w:tcPr>
          <w:p w14:paraId="123EA173" w14:textId="77777777" w:rsidR="00807CC3" w:rsidRPr="00E34885" w:rsidRDefault="00807CC3" w:rsidP="009A78B7">
            <w:pPr>
              <w:jc w:val="center"/>
              <w:rPr>
                <w:rFonts w:ascii="Arial" w:hAnsi="Arial" w:cs="Arial"/>
                <w:bCs/>
                <w:sz w:val="20"/>
                <w:szCs w:val="20"/>
              </w:rPr>
            </w:pPr>
          </w:p>
        </w:tc>
      </w:tr>
      <w:tr w:rsidR="00807CC3" w:rsidRPr="00857F26" w14:paraId="175C28C5" w14:textId="77777777" w:rsidTr="009A78B7">
        <w:trPr>
          <w:trHeight w:val="263"/>
          <w:jc w:val="center"/>
        </w:trPr>
        <w:tc>
          <w:tcPr>
            <w:tcW w:w="2180" w:type="dxa"/>
            <w:tcBorders>
              <w:top w:val="single" w:sz="8" w:space="0" w:color="000000"/>
              <w:left w:val="single" w:sz="8" w:space="0" w:color="000000"/>
              <w:bottom w:val="single" w:sz="8" w:space="0" w:color="000000"/>
              <w:right w:val="single" w:sz="8" w:space="0" w:color="000000"/>
            </w:tcBorders>
            <w:vAlign w:val="center"/>
          </w:tcPr>
          <w:p w14:paraId="1793531B" w14:textId="77777777" w:rsidR="00807CC3" w:rsidRPr="00E34885" w:rsidRDefault="00807CC3" w:rsidP="009A78B7">
            <w:pPr>
              <w:jc w:val="center"/>
              <w:rPr>
                <w:rFonts w:ascii="Arial" w:hAnsi="Arial" w:cs="Arial"/>
                <w:bCs/>
                <w:sz w:val="20"/>
                <w:szCs w:val="20"/>
              </w:rPr>
            </w:pPr>
            <w:r w:rsidRPr="00E34885">
              <w:rPr>
                <w:rFonts w:ascii="Arial" w:hAnsi="Arial" w:cs="Arial"/>
                <w:bCs/>
                <w:sz w:val="20"/>
                <w:szCs w:val="20"/>
              </w:rPr>
              <w:t>3</w:t>
            </w:r>
          </w:p>
        </w:tc>
        <w:tc>
          <w:tcPr>
            <w:tcW w:w="4180" w:type="dxa"/>
            <w:tcBorders>
              <w:top w:val="single" w:sz="8" w:space="0" w:color="000000"/>
              <w:left w:val="single" w:sz="8" w:space="0" w:color="000000"/>
              <w:bottom w:val="single" w:sz="8" w:space="0" w:color="000000"/>
              <w:right w:val="single" w:sz="8" w:space="0" w:color="000000"/>
            </w:tcBorders>
            <w:vAlign w:val="center"/>
          </w:tcPr>
          <w:p w14:paraId="09E7E277" w14:textId="77777777" w:rsidR="00807CC3" w:rsidRPr="00E34885" w:rsidRDefault="00807CC3" w:rsidP="009A78B7">
            <w:pPr>
              <w:rPr>
                <w:rFonts w:ascii="Arial" w:hAnsi="Arial" w:cs="Arial"/>
                <w:bCs/>
                <w:sz w:val="20"/>
                <w:szCs w:val="20"/>
              </w:rPr>
            </w:pPr>
            <w:r w:rsidRPr="00E34885">
              <w:rPr>
                <w:rFonts w:ascii="Arial" w:hAnsi="Arial" w:cs="Arial"/>
                <w:bCs/>
                <w:sz w:val="20"/>
                <w:szCs w:val="20"/>
              </w:rPr>
              <w:t xml:space="preserve">High </w:t>
            </w:r>
            <w:proofErr w:type="spellStart"/>
            <w:r w:rsidRPr="00E34885">
              <w:rPr>
                <w:rFonts w:ascii="Arial" w:hAnsi="Arial" w:cs="Arial"/>
                <w:bCs/>
                <w:sz w:val="20"/>
                <w:szCs w:val="20"/>
              </w:rPr>
              <w:t>availability</w:t>
            </w:r>
            <w:proofErr w:type="spellEnd"/>
            <w:r w:rsidRPr="00E34885">
              <w:rPr>
                <w:rFonts w:ascii="Arial" w:hAnsi="Arial" w:cs="Arial"/>
                <w:bCs/>
                <w:sz w:val="20"/>
                <w:szCs w:val="20"/>
              </w:rPr>
              <w:t xml:space="preserve"> library</w:t>
            </w:r>
          </w:p>
        </w:tc>
        <w:tc>
          <w:tcPr>
            <w:tcW w:w="1240" w:type="dxa"/>
            <w:tcBorders>
              <w:top w:val="single" w:sz="8" w:space="0" w:color="000000"/>
              <w:left w:val="single" w:sz="8" w:space="0" w:color="000000"/>
              <w:bottom w:val="single" w:sz="8" w:space="0" w:color="000000"/>
              <w:right w:val="single" w:sz="8" w:space="0" w:color="000000"/>
            </w:tcBorders>
            <w:vAlign w:val="center"/>
          </w:tcPr>
          <w:p w14:paraId="1FE7B6CA" w14:textId="77777777" w:rsidR="00807CC3" w:rsidRPr="00E34885" w:rsidRDefault="00807CC3" w:rsidP="009A78B7">
            <w:pPr>
              <w:jc w:val="center"/>
              <w:rPr>
                <w:rFonts w:ascii="Arial" w:hAnsi="Arial" w:cs="Arial"/>
                <w:bCs/>
                <w:sz w:val="20"/>
                <w:szCs w:val="20"/>
              </w:rPr>
            </w:pPr>
          </w:p>
        </w:tc>
      </w:tr>
      <w:tr w:rsidR="00807CC3" w:rsidRPr="00857F26" w14:paraId="595E8D92" w14:textId="77777777" w:rsidTr="009A78B7">
        <w:trPr>
          <w:trHeight w:val="263"/>
          <w:jc w:val="center"/>
        </w:trPr>
        <w:tc>
          <w:tcPr>
            <w:tcW w:w="2180" w:type="dxa"/>
            <w:tcBorders>
              <w:top w:val="single" w:sz="8" w:space="0" w:color="000000"/>
              <w:left w:val="single" w:sz="8" w:space="0" w:color="000000"/>
              <w:bottom w:val="single" w:sz="8" w:space="0" w:color="000000"/>
              <w:right w:val="single" w:sz="8" w:space="0" w:color="000000"/>
            </w:tcBorders>
            <w:vAlign w:val="center"/>
          </w:tcPr>
          <w:p w14:paraId="4594C8AF" w14:textId="77777777" w:rsidR="00807CC3" w:rsidRPr="00E34885" w:rsidRDefault="00807CC3" w:rsidP="009A78B7">
            <w:pPr>
              <w:jc w:val="center"/>
              <w:rPr>
                <w:rFonts w:ascii="Arial" w:hAnsi="Arial" w:cs="Arial"/>
                <w:bCs/>
                <w:sz w:val="20"/>
                <w:szCs w:val="20"/>
              </w:rPr>
            </w:pPr>
            <w:r w:rsidRPr="00E34885">
              <w:rPr>
                <w:rFonts w:ascii="Arial" w:hAnsi="Arial" w:cs="Arial"/>
                <w:bCs/>
                <w:sz w:val="20"/>
                <w:szCs w:val="20"/>
              </w:rPr>
              <w:t>3</w:t>
            </w:r>
          </w:p>
        </w:tc>
        <w:tc>
          <w:tcPr>
            <w:tcW w:w="4180" w:type="dxa"/>
            <w:tcBorders>
              <w:top w:val="single" w:sz="8" w:space="0" w:color="000000"/>
              <w:left w:val="single" w:sz="8" w:space="0" w:color="000000"/>
              <w:bottom w:val="single" w:sz="8" w:space="0" w:color="000000"/>
              <w:right w:val="single" w:sz="8" w:space="0" w:color="000000"/>
            </w:tcBorders>
            <w:vAlign w:val="center"/>
          </w:tcPr>
          <w:p w14:paraId="77E3C779" w14:textId="77777777" w:rsidR="00807CC3" w:rsidRPr="00E34885" w:rsidRDefault="00807CC3" w:rsidP="009A78B7">
            <w:pPr>
              <w:rPr>
                <w:rFonts w:ascii="Arial" w:hAnsi="Arial" w:cs="Arial"/>
                <w:bCs/>
                <w:sz w:val="20"/>
                <w:szCs w:val="20"/>
              </w:rPr>
            </w:pPr>
            <w:proofErr w:type="spellStart"/>
            <w:r w:rsidRPr="00E34885">
              <w:rPr>
                <w:rFonts w:ascii="Arial" w:hAnsi="Arial" w:cs="Arial"/>
                <w:bCs/>
                <w:sz w:val="20"/>
                <w:szCs w:val="20"/>
              </w:rPr>
              <w:t>Redundant</w:t>
            </w:r>
            <w:proofErr w:type="spellEnd"/>
            <w:r w:rsidRPr="00E34885">
              <w:rPr>
                <w:rFonts w:ascii="Arial" w:hAnsi="Arial" w:cs="Arial"/>
                <w:bCs/>
                <w:sz w:val="20"/>
                <w:szCs w:val="20"/>
              </w:rPr>
              <w:t xml:space="preserve"> </w:t>
            </w:r>
            <w:proofErr w:type="spellStart"/>
            <w:r w:rsidRPr="00E34885">
              <w:rPr>
                <w:rFonts w:ascii="Arial" w:hAnsi="Arial" w:cs="Arial"/>
                <w:bCs/>
                <w:sz w:val="20"/>
                <w:szCs w:val="20"/>
              </w:rPr>
              <w:t>accessor</w:t>
            </w:r>
            <w:proofErr w:type="spellEnd"/>
          </w:p>
        </w:tc>
        <w:tc>
          <w:tcPr>
            <w:tcW w:w="1240" w:type="dxa"/>
            <w:tcBorders>
              <w:top w:val="single" w:sz="8" w:space="0" w:color="000000"/>
              <w:left w:val="single" w:sz="8" w:space="0" w:color="000000"/>
              <w:bottom w:val="single" w:sz="8" w:space="0" w:color="000000"/>
              <w:right w:val="single" w:sz="8" w:space="0" w:color="000000"/>
            </w:tcBorders>
            <w:vAlign w:val="center"/>
          </w:tcPr>
          <w:p w14:paraId="78686E5B" w14:textId="77777777" w:rsidR="00807CC3" w:rsidRPr="00E34885" w:rsidRDefault="00807CC3" w:rsidP="009A78B7">
            <w:pPr>
              <w:jc w:val="center"/>
              <w:rPr>
                <w:rFonts w:ascii="Arial" w:hAnsi="Arial" w:cs="Arial"/>
                <w:bCs/>
                <w:sz w:val="20"/>
                <w:szCs w:val="20"/>
              </w:rPr>
            </w:pPr>
          </w:p>
        </w:tc>
      </w:tr>
      <w:tr w:rsidR="00807CC3" w:rsidRPr="00857F26" w14:paraId="3162760A" w14:textId="77777777" w:rsidTr="009A78B7">
        <w:trPr>
          <w:trHeight w:val="263"/>
          <w:jc w:val="center"/>
        </w:trPr>
        <w:tc>
          <w:tcPr>
            <w:tcW w:w="2180" w:type="dxa"/>
            <w:tcBorders>
              <w:top w:val="single" w:sz="8" w:space="0" w:color="000000"/>
              <w:left w:val="single" w:sz="8" w:space="0" w:color="000000"/>
              <w:bottom w:val="single" w:sz="8" w:space="0" w:color="000000"/>
              <w:right w:val="single" w:sz="8" w:space="0" w:color="000000"/>
            </w:tcBorders>
            <w:vAlign w:val="center"/>
            <w:hideMark/>
          </w:tcPr>
          <w:p w14:paraId="1B6A0544" w14:textId="77777777" w:rsidR="00807CC3" w:rsidRPr="00E34885" w:rsidRDefault="00807CC3" w:rsidP="009A78B7">
            <w:pPr>
              <w:jc w:val="center"/>
              <w:rPr>
                <w:rFonts w:ascii="Arial" w:hAnsi="Arial" w:cs="Arial"/>
                <w:bCs/>
                <w:sz w:val="20"/>
                <w:szCs w:val="20"/>
              </w:rPr>
            </w:pPr>
            <w:r w:rsidRPr="00E34885">
              <w:rPr>
                <w:rFonts w:ascii="Arial" w:hAnsi="Arial" w:cs="Arial"/>
                <w:bCs/>
                <w:sz w:val="20"/>
                <w:szCs w:val="20"/>
              </w:rPr>
              <w:t>1080</w:t>
            </w:r>
          </w:p>
        </w:tc>
        <w:tc>
          <w:tcPr>
            <w:tcW w:w="4180" w:type="dxa"/>
            <w:tcBorders>
              <w:top w:val="single" w:sz="8" w:space="0" w:color="000000"/>
              <w:left w:val="single" w:sz="8" w:space="0" w:color="000000"/>
              <w:bottom w:val="single" w:sz="8" w:space="0" w:color="000000"/>
              <w:right w:val="single" w:sz="8" w:space="0" w:color="000000"/>
            </w:tcBorders>
            <w:vAlign w:val="center"/>
            <w:hideMark/>
          </w:tcPr>
          <w:p w14:paraId="4D58B268" w14:textId="77777777" w:rsidR="00807CC3" w:rsidRPr="00E34885" w:rsidRDefault="00807CC3" w:rsidP="009A78B7">
            <w:pPr>
              <w:rPr>
                <w:rFonts w:ascii="Arial" w:hAnsi="Arial" w:cs="Arial"/>
                <w:bCs/>
                <w:sz w:val="20"/>
                <w:szCs w:val="20"/>
              </w:rPr>
            </w:pPr>
            <w:r w:rsidRPr="00E34885">
              <w:rPr>
                <w:rFonts w:ascii="Arial" w:hAnsi="Arial" w:cs="Arial"/>
                <w:bCs/>
                <w:sz w:val="20"/>
                <w:szCs w:val="20"/>
              </w:rPr>
              <w:t xml:space="preserve">Cartucce 3592-JE </w:t>
            </w:r>
          </w:p>
        </w:tc>
        <w:tc>
          <w:tcPr>
            <w:tcW w:w="1240" w:type="dxa"/>
            <w:tcBorders>
              <w:top w:val="single" w:sz="8" w:space="0" w:color="000000"/>
              <w:left w:val="single" w:sz="8" w:space="0" w:color="000000"/>
              <w:bottom w:val="single" w:sz="8" w:space="0" w:color="000000"/>
              <w:right w:val="single" w:sz="8" w:space="0" w:color="000000"/>
            </w:tcBorders>
            <w:vAlign w:val="center"/>
          </w:tcPr>
          <w:p w14:paraId="5EC11C2B" w14:textId="77777777" w:rsidR="00807CC3" w:rsidRPr="00E34885" w:rsidRDefault="00807CC3" w:rsidP="009A78B7">
            <w:pPr>
              <w:jc w:val="center"/>
              <w:rPr>
                <w:rFonts w:ascii="Arial" w:hAnsi="Arial" w:cs="Arial"/>
                <w:bCs/>
                <w:sz w:val="20"/>
                <w:szCs w:val="20"/>
              </w:rPr>
            </w:pPr>
          </w:p>
        </w:tc>
      </w:tr>
      <w:tr w:rsidR="00807CC3" w:rsidRPr="00857F26" w14:paraId="4B985406" w14:textId="77777777" w:rsidTr="009A78B7">
        <w:trPr>
          <w:trHeight w:val="263"/>
          <w:jc w:val="center"/>
        </w:trPr>
        <w:tc>
          <w:tcPr>
            <w:tcW w:w="2180" w:type="dxa"/>
            <w:tcBorders>
              <w:top w:val="single" w:sz="8" w:space="0" w:color="000000"/>
              <w:left w:val="single" w:sz="8" w:space="0" w:color="000000"/>
              <w:bottom w:val="single" w:sz="8" w:space="0" w:color="000000"/>
              <w:right w:val="single" w:sz="8" w:space="0" w:color="000000"/>
            </w:tcBorders>
            <w:vAlign w:val="center"/>
          </w:tcPr>
          <w:p w14:paraId="29571DFF" w14:textId="77777777" w:rsidR="00807CC3" w:rsidRPr="00E34885" w:rsidRDefault="00807CC3" w:rsidP="009A78B7">
            <w:pPr>
              <w:jc w:val="center"/>
              <w:rPr>
                <w:rFonts w:ascii="Arial" w:hAnsi="Arial" w:cs="Arial"/>
                <w:bCs/>
                <w:sz w:val="20"/>
                <w:szCs w:val="20"/>
              </w:rPr>
            </w:pPr>
            <w:r w:rsidRPr="00E34885">
              <w:rPr>
                <w:rFonts w:ascii="Arial" w:hAnsi="Arial" w:cs="Arial"/>
                <w:bCs/>
                <w:sz w:val="20"/>
                <w:szCs w:val="20"/>
              </w:rPr>
              <w:t>200</w:t>
            </w:r>
          </w:p>
        </w:tc>
        <w:tc>
          <w:tcPr>
            <w:tcW w:w="4180" w:type="dxa"/>
            <w:tcBorders>
              <w:top w:val="single" w:sz="8" w:space="0" w:color="000000"/>
              <w:left w:val="single" w:sz="8" w:space="0" w:color="000000"/>
              <w:bottom w:val="single" w:sz="8" w:space="0" w:color="000000"/>
              <w:right w:val="single" w:sz="8" w:space="0" w:color="000000"/>
            </w:tcBorders>
            <w:vAlign w:val="center"/>
          </w:tcPr>
          <w:p w14:paraId="0E269A9A" w14:textId="77777777" w:rsidR="00807CC3" w:rsidRPr="00E34885" w:rsidRDefault="00807CC3" w:rsidP="009A78B7">
            <w:pPr>
              <w:rPr>
                <w:rFonts w:ascii="Arial" w:hAnsi="Arial" w:cs="Arial"/>
                <w:bCs/>
                <w:sz w:val="20"/>
                <w:szCs w:val="20"/>
              </w:rPr>
            </w:pPr>
            <w:r w:rsidRPr="00E34885">
              <w:rPr>
                <w:rFonts w:ascii="Arial" w:hAnsi="Arial" w:cs="Arial"/>
                <w:bCs/>
                <w:sz w:val="20"/>
                <w:szCs w:val="20"/>
              </w:rPr>
              <w:t xml:space="preserve">Cartucce </w:t>
            </w:r>
            <w:proofErr w:type="spellStart"/>
            <w:r w:rsidRPr="00E34885">
              <w:rPr>
                <w:rFonts w:ascii="Arial" w:hAnsi="Arial" w:cs="Arial"/>
                <w:bCs/>
                <w:sz w:val="20"/>
                <w:szCs w:val="20"/>
              </w:rPr>
              <w:t>cleaning</w:t>
            </w:r>
            <w:proofErr w:type="spellEnd"/>
          </w:p>
        </w:tc>
        <w:tc>
          <w:tcPr>
            <w:tcW w:w="1240" w:type="dxa"/>
            <w:tcBorders>
              <w:top w:val="single" w:sz="8" w:space="0" w:color="000000"/>
              <w:left w:val="single" w:sz="8" w:space="0" w:color="000000"/>
              <w:bottom w:val="single" w:sz="8" w:space="0" w:color="000000"/>
              <w:right w:val="single" w:sz="8" w:space="0" w:color="000000"/>
            </w:tcBorders>
            <w:vAlign w:val="center"/>
          </w:tcPr>
          <w:p w14:paraId="7A05CD0D" w14:textId="77777777" w:rsidR="00807CC3" w:rsidRPr="00E34885" w:rsidRDefault="00807CC3" w:rsidP="009A78B7">
            <w:pPr>
              <w:jc w:val="center"/>
              <w:rPr>
                <w:rFonts w:ascii="Arial" w:hAnsi="Arial" w:cs="Arial"/>
                <w:bCs/>
                <w:sz w:val="20"/>
                <w:szCs w:val="20"/>
              </w:rPr>
            </w:pPr>
          </w:p>
        </w:tc>
      </w:tr>
      <w:tr w:rsidR="00807CC3" w:rsidRPr="00857F26" w14:paraId="14E4678E" w14:textId="77777777" w:rsidTr="009A78B7">
        <w:trPr>
          <w:trHeight w:val="263"/>
          <w:jc w:val="center"/>
        </w:trPr>
        <w:tc>
          <w:tcPr>
            <w:tcW w:w="2180" w:type="dxa"/>
            <w:tcBorders>
              <w:top w:val="single" w:sz="8" w:space="0" w:color="000000"/>
              <w:left w:val="single" w:sz="8" w:space="0" w:color="000000"/>
              <w:bottom w:val="single" w:sz="8" w:space="0" w:color="000000"/>
              <w:right w:val="single" w:sz="8" w:space="0" w:color="000000"/>
            </w:tcBorders>
            <w:vAlign w:val="center"/>
          </w:tcPr>
          <w:p w14:paraId="2DDC3E07" w14:textId="77777777" w:rsidR="00807CC3" w:rsidRPr="00E34885" w:rsidRDefault="00807CC3" w:rsidP="009A78B7">
            <w:pPr>
              <w:jc w:val="center"/>
              <w:rPr>
                <w:rFonts w:ascii="Arial" w:hAnsi="Arial" w:cs="Arial"/>
                <w:bCs/>
                <w:sz w:val="20"/>
                <w:szCs w:val="20"/>
              </w:rPr>
            </w:pPr>
            <w:r w:rsidRPr="00E34885">
              <w:rPr>
                <w:rFonts w:ascii="Arial" w:hAnsi="Arial" w:cs="Arial"/>
                <w:bCs/>
                <w:sz w:val="20"/>
                <w:szCs w:val="20"/>
              </w:rPr>
              <w:t>1</w:t>
            </w:r>
          </w:p>
        </w:tc>
        <w:tc>
          <w:tcPr>
            <w:tcW w:w="4180" w:type="dxa"/>
            <w:tcBorders>
              <w:top w:val="single" w:sz="8" w:space="0" w:color="000000"/>
              <w:left w:val="single" w:sz="8" w:space="0" w:color="000000"/>
              <w:bottom w:val="single" w:sz="8" w:space="0" w:color="000000"/>
              <w:right w:val="single" w:sz="8" w:space="0" w:color="000000"/>
            </w:tcBorders>
            <w:vAlign w:val="center"/>
          </w:tcPr>
          <w:p w14:paraId="75444FD5" w14:textId="77777777" w:rsidR="00807CC3" w:rsidRPr="00E34885" w:rsidRDefault="00807CC3" w:rsidP="009A78B7">
            <w:pPr>
              <w:rPr>
                <w:rFonts w:ascii="Arial" w:hAnsi="Arial" w:cs="Arial"/>
                <w:bCs/>
                <w:sz w:val="20"/>
                <w:szCs w:val="20"/>
              </w:rPr>
            </w:pPr>
            <w:r w:rsidRPr="00E34885">
              <w:rPr>
                <w:rFonts w:ascii="Arial" w:hAnsi="Arial" w:cs="Arial"/>
                <w:bCs/>
                <w:sz w:val="20"/>
                <w:szCs w:val="20"/>
              </w:rPr>
              <w:t xml:space="preserve">MES per alloggiamento e spostamento di una coppia di Switch interni </w:t>
            </w:r>
          </w:p>
        </w:tc>
        <w:tc>
          <w:tcPr>
            <w:tcW w:w="1240" w:type="dxa"/>
            <w:tcBorders>
              <w:top w:val="single" w:sz="8" w:space="0" w:color="000000"/>
              <w:left w:val="single" w:sz="8" w:space="0" w:color="000000"/>
              <w:bottom w:val="single" w:sz="8" w:space="0" w:color="000000"/>
              <w:right w:val="single" w:sz="8" w:space="0" w:color="000000"/>
            </w:tcBorders>
            <w:vAlign w:val="center"/>
          </w:tcPr>
          <w:p w14:paraId="58B78E8C" w14:textId="77777777" w:rsidR="00807CC3" w:rsidRPr="00E34885" w:rsidRDefault="00807CC3" w:rsidP="009A78B7">
            <w:pPr>
              <w:jc w:val="center"/>
              <w:rPr>
                <w:rFonts w:ascii="Arial" w:hAnsi="Arial" w:cs="Arial"/>
                <w:bCs/>
                <w:sz w:val="20"/>
                <w:szCs w:val="20"/>
              </w:rPr>
            </w:pPr>
            <w:r w:rsidRPr="00E34885">
              <w:rPr>
                <w:rFonts w:ascii="Arial" w:hAnsi="Arial" w:cs="Arial"/>
                <w:bCs/>
                <w:sz w:val="20"/>
                <w:szCs w:val="20"/>
              </w:rPr>
              <w:t>solo per sito di DR</w:t>
            </w:r>
          </w:p>
        </w:tc>
      </w:tr>
    </w:tbl>
    <w:p w14:paraId="29491070" w14:textId="77777777" w:rsidR="00807CC3" w:rsidRDefault="00807CC3">
      <w:pPr>
        <w:spacing w:line="360" w:lineRule="auto"/>
        <w:ind w:left="284"/>
        <w:jc w:val="both"/>
        <w:rPr>
          <w:rFonts w:ascii="Arial" w:hAnsi="Arial" w:cs="Arial"/>
          <w:bCs/>
          <w:color w:val="FF0000"/>
          <w:sz w:val="20"/>
          <w:szCs w:val="20"/>
        </w:rPr>
      </w:pPr>
    </w:p>
    <w:p w14:paraId="1005E3BE" w14:textId="77777777" w:rsidR="00807CC3" w:rsidRPr="00744437" w:rsidRDefault="00807CC3">
      <w:pPr>
        <w:spacing w:line="360" w:lineRule="auto"/>
        <w:ind w:left="284"/>
        <w:jc w:val="both"/>
        <w:rPr>
          <w:rFonts w:ascii="Arial" w:hAnsi="Arial" w:cs="Arial"/>
          <w:bCs/>
          <w:color w:val="FF0000"/>
          <w:sz w:val="20"/>
          <w:szCs w:val="20"/>
        </w:rPr>
      </w:pPr>
    </w:p>
    <w:p w14:paraId="39A67C0F" w14:textId="77777777" w:rsidR="006C414B" w:rsidRDefault="00A82C5B" w:rsidP="00744437">
      <w:pPr>
        <w:spacing w:line="360" w:lineRule="auto"/>
        <w:jc w:val="both"/>
        <w:rPr>
          <w:rFonts w:ascii="Arial" w:hAnsi="Arial" w:cs="Arial"/>
          <w:b/>
          <w:bCs/>
          <w:color w:val="0077CF"/>
          <w:sz w:val="22"/>
          <w:szCs w:val="22"/>
        </w:rPr>
      </w:pPr>
      <w:r w:rsidRPr="00817F0F">
        <w:rPr>
          <w:rFonts w:ascii="Arial" w:hAnsi="Arial" w:cs="Arial"/>
          <w:b/>
          <w:bCs/>
          <w:color w:val="0077CF"/>
          <w:sz w:val="22"/>
          <w:szCs w:val="22"/>
        </w:rPr>
        <w:t>Domande – Questionario generale</w:t>
      </w:r>
    </w:p>
    <w:p w14:paraId="429B5F76" w14:textId="7B38B3BF" w:rsidR="002076AA" w:rsidRDefault="002076AA" w:rsidP="002076AA">
      <w:pPr>
        <w:pStyle w:val="BodyText21"/>
        <w:numPr>
          <w:ilvl w:val="0"/>
          <w:numId w:val="10"/>
        </w:numPr>
        <w:spacing w:line="360" w:lineRule="auto"/>
        <w:rPr>
          <w:rFonts w:asciiTheme="minorHAnsi" w:hAnsiTheme="minorHAnsi" w:cs="Arial"/>
          <w:sz w:val="20"/>
          <w:szCs w:val="20"/>
        </w:rPr>
      </w:pPr>
      <w:r>
        <w:rPr>
          <w:rFonts w:asciiTheme="minorHAnsi" w:hAnsiTheme="minorHAnsi" w:cs="Arial"/>
          <w:sz w:val="20"/>
          <w:szCs w:val="20"/>
        </w:rPr>
        <w:t xml:space="preserve">Definire il posizionamento dell’Azienda nel mercato </w:t>
      </w:r>
      <w:r w:rsidR="00725E4A">
        <w:rPr>
          <w:rFonts w:asciiTheme="minorHAnsi" w:hAnsiTheme="minorHAnsi" w:cs="Arial"/>
          <w:sz w:val="20"/>
          <w:szCs w:val="20"/>
        </w:rPr>
        <w:t xml:space="preserve">delle Nastroteche </w:t>
      </w:r>
      <w:proofErr w:type="spellStart"/>
      <w:r w:rsidR="00725E4A">
        <w:rPr>
          <w:rFonts w:asciiTheme="minorHAnsi" w:hAnsiTheme="minorHAnsi" w:cs="Arial"/>
          <w:sz w:val="20"/>
          <w:szCs w:val="20"/>
        </w:rPr>
        <w:t>robotomizzate</w:t>
      </w:r>
      <w:proofErr w:type="spellEnd"/>
      <w:r>
        <w:rPr>
          <w:rFonts w:asciiTheme="minorHAnsi" w:hAnsiTheme="minorHAnsi" w:cs="Arial"/>
          <w:sz w:val="20"/>
          <w:szCs w:val="20"/>
        </w:rPr>
        <w:t xml:space="preserve"> IBM  </w:t>
      </w:r>
    </w:p>
    <w:p w14:paraId="5DAA08DC" w14:textId="77777777" w:rsidR="002076AA" w:rsidRPr="00541FBE" w:rsidRDefault="002076AA" w:rsidP="002076AA">
      <w:pPr>
        <w:pStyle w:val="Titolo1"/>
        <w:numPr>
          <w:ilvl w:val="0"/>
          <w:numId w:val="0"/>
        </w:numPr>
        <w:ind w:left="284"/>
        <w:rPr>
          <w:rFonts w:asciiTheme="minorHAnsi" w:hAnsiTheme="minorHAnsi"/>
          <w:b w:val="0"/>
          <w:sz w:val="24"/>
        </w:rPr>
      </w:pPr>
      <w:r w:rsidRPr="00541FBE">
        <w:rPr>
          <w:rFonts w:asciiTheme="minorHAnsi" w:hAnsiTheme="minorHAnsi"/>
          <w:sz w:val="24"/>
        </w:rPr>
        <w:t>Risposta:</w:t>
      </w:r>
      <w:r w:rsidRPr="00541FBE">
        <w:rPr>
          <w:rFonts w:asciiTheme="minorHAnsi" w:hAnsiTheme="minorHAnsi" w:cs="Arial"/>
          <w:b w:val="0"/>
          <w:i/>
          <w:color w:val="FF0000"/>
          <w:szCs w:val="22"/>
        </w:rPr>
        <w:t xml:space="preserve"> </w:t>
      </w:r>
    </w:p>
    <w:p w14:paraId="5F22B557" w14:textId="4954A743" w:rsidR="002076AA" w:rsidRPr="000B53AE" w:rsidRDefault="002076AA" w:rsidP="002076AA">
      <w:pPr>
        <w:pStyle w:val="BodyText21"/>
        <w:numPr>
          <w:ilvl w:val="0"/>
          <w:numId w:val="11"/>
        </w:numPr>
        <w:spacing w:line="360" w:lineRule="auto"/>
        <w:rPr>
          <w:rFonts w:asciiTheme="minorHAnsi" w:hAnsiTheme="minorHAnsi" w:cs="Arial"/>
          <w:sz w:val="20"/>
          <w:szCs w:val="20"/>
        </w:rPr>
      </w:pPr>
      <w:r>
        <w:rPr>
          <w:rFonts w:asciiTheme="minorHAnsi" w:hAnsiTheme="minorHAnsi" w:cs="Arial"/>
          <w:sz w:val="20"/>
          <w:szCs w:val="20"/>
        </w:rPr>
        <w:t>Produttore dei sistemi e delle soluzioni IBM (c.d. Casa Madre)</w:t>
      </w:r>
    </w:p>
    <w:p w14:paraId="5193A724" w14:textId="4FA19F5D" w:rsidR="002076AA" w:rsidRDefault="002076AA" w:rsidP="002076AA">
      <w:pPr>
        <w:pStyle w:val="BodyText21"/>
        <w:numPr>
          <w:ilvl w:val="0"/>
          <w:numId w:val="11"/>
        </w:numPr>
        <w:spacing w:line="360" w:lineRule="auto"/>
        <w:rPr>
          <w:rFonts w:asciiTheme="minorHAnsi" w:hAnsiTheme="minorHAnsi" w:cs="Arial"/>
          <w:sz w:val="20"/>
          <w:szCs w:val="20"/>
        </w:rPr>
      </w:pPr>
      <w:r w:rsidRPr="00B542CB">
        <w:rPr>
          <w:rFonts w:asciiTheme="minorHAnsi" w:hAnsiTheme="minorHAnsi" w:cs="Arial"/>
          <w:sz w:val="20"/>
          <w:szCs w:val="20"/>
        </w:rPr>
        <w:t xml:space="preserve">Distributore di </w:t>
      </w:r>
      <w:r>
        <w:rPr>
          <w:rFonts w:asciiTheme="minorHAnsi" w:hAnsiTheme="minorHAnsi" w:cs="Arial"/>
          <w:sz w:val="20"/>
          <w:szCs w:val="20"/>
        </w:rPr>
        <w:t>sistemi e soluzioni IBM</w:t>
      </w:r>
    </w:p>
    <w:p w14:paraId="287FF66F"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(elencare eventuali ulteriori Brand di soluzioni analoghe distribuite)</w:t>
      </w:r>
    </w:p>
    <w:p w14:paraId="501DB872"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1F39C921"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06E5B70E"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35AC532D"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2EFFBCF1" w14:textId="066B8D74" w:rsidR="002076AA" w:rsidRDefault="002076AA" w:rsidP="002076AA">
      <w:pPr>
        <w:pStyle w:val="BodyText21"/>
        <w:numPr>
          <w:ilvl w:val="0"/>
          <w:numId w:val="11"/>
        </w:numPr>
        <w:spacing w:line="360" w:lineRule="auto"/>
        <w:rPr>
          <w:rFonts w:asciiTheme="minorHAnsi" w:hAnsiTheme="minorHAnsi" w:cs="Arial"/>
          <w:sz w:val="20"/>
          <w:szCs w:val="20"/>
        </w:rPr>
      </w:pPr>
      <w:r>
        <w:rPr>
          <w:rFonts w:asciiTheme="minorHAnsi" w:hAnsiTheme="minorHAnsi" w:cs="Arial"/>
          <w:sz w:val="20"/>
          <w:szCs w:val="20"/>
        </w:rPr>
        <w:t>Rivenditore di sistemi e soluzioni IBM</w:t>
      </w:r>
    </w:p>
    <w:p w14:paraId="240029FE" w14:textId="77777777" w:rsidR="002076AA" w:rsidRPr="005C5A87" w:rsidRDefault="002076AA" w:rsidP="002076AA">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w:t>
      </w:r>
      <w:r>
        <w:rPr>
          <w:rFonts w:asciiTheme="minorHAnsi" w:hAnsiTheme="minorHAnsi" w:cs="Arial"/>
          <w:sz w:val="20"/>
          <w:szCs w:val="20"/>
        </w:rPr>
        <w:t>elencare eventuali ulteriori Brand di soluzioni analoghe veicolati dalla propria azienda</w:t>
      </w:r>
      <w:r w:rsidRPr="005C5A87">
        <w:rPr>
          <w:rFonts w:asciiTheme="minorHAnsi" w:hAnsiTheme="minorHAnsi" w:cs="Arial"/>
          <w:sz w:val="20"/>
          <w:szCs w:val="20"/>
        </w:rPr>
        <w:t>)</w:t>
      </w:r>
    </w:p>
    <w:p w14:paraId="3557B0D8" w14:textId="77777777" w:rsidR="002076AA" w:rsidRPr="005C5A87" w:rsidRDefault="002076AA" w:rsidP="002076AA">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______________________________</w:t>
      </w:r>
    </w:p>
    <w:p w14:paraId="00281175" w14:textId="77777777" w:rsidR="002076AA" w:rsidRPr="005C5A87" w:rsidRDefault="002076AA" w:rsidP="002076AA">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______________________________</w:t>
      </w:r>
    </w:p>
    <w:p w14:paraId="1C3277D1" w14:textId="77777777" w:rsidR="002076AA" w:rsidRPr="005C5A87" w:rsidRDefault="002076AA" w:rsidP="002076AA">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______________________________</w:t>
      </w:r>
    </w:p>
    <w:p w14:paraId="572B5D40" w14:textId="77777777" w:rsidR="002076AA" w:rsidRDefault="002076AA" w:rsidP="002076AA">
      <w:pPr>
        <w:pStyle w:val="BodyText21"/>
        <w:spacing w:line="360" w:lineRule="auto"/>
        <w:ind w:left="1080"/>
        <w:rPr>
          <w:rFonts w:asciiTheme="minorHAnsi" w:hAnsiTheme="minorHAnsi" w:cs="Arial"/>
          <w:sz w:val="20"/>
          <w:szCs w:val="20"/>
        </w:rPr>
      </w:pPr>
      <w:r w:rsidRPr="005C5A87">
        <w:rPr>
          <w:rFonts w:asciiTheme="minorHAnsi" w:hAnsiTheme="minorHAnsi" w:cs="Arial"/>
          <w:sz w:val="20"/>
          <w:szCs w:val="20"/>
        </w:rPr>
        <w:t>______________________________</w:t>
      </w:r>
    </w:p>
    <w:p w14:paraId="35A53DB0" w14:textId="671E465F" w:rsidR="002076AA" w:rsidRDefault="002076AA" w:rsidP="002076AA">
      <w:pPr>
        <w:pStyle w:val="BodyText21"/>
        <w:numPr>
          <w:ilvl w:val="0"/>
          <w:numId w:val="11"/>
        </w:numPr>
        <w:spacing w:line="360" w:lineRule="auto"/>
        <w:rPr>
          <w:rFonts w:asciiTheme="minorHAnsi" w:hAnsiTheme="minorHAnsi" w:cs="Arial"/>
          <w:sz w:val="20"/>
          <w:szCs w:val="20"/>
        </w:rPr>
      </w:pPr>
      <w:r>
        <w:rPr>
          <w:rFonts w:asciiTheme="minorHAnsi" w:hAnsiTheme="minorHAnsi" w:cs="Arial"/>
          <w:sz w:val="20"/>
          <w:szCs w:val="20"/>
        </w:rPr>
        <w:t>System Integrator di sistemi e soluzioni IBM</w:t>
      </w:r>
    </w:p>
    <w:p w14:paraId="1F3C4FD2"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(elencare eventuali ulteriori Brand di soluzioni analoghe veicolati dalla propria azienda con i quali vengono realizzate forniture nel medesimo settore)</w:t>
      </w:r>
    </w:p>
    <w:p w14:paraId="67CEFEAF"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0B0D5FC9"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1B205E31"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43CA2BCF"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w:t>
      </w:r>
    </w:p>
    <w:p w14:paraId="3DFF6BE8" w14:textId="77777777" w:rsidR="002076AA" w:rsidRDefault="002076AA" w:rsidP="002076AA">
      <w:pPr>
        <w:spacing w:line="276" w:lineRule="auto"/>
        <w:ind w:left="284"/>
        <w:jc w:val="both"/>
        <w:rPr>
          <w:rFonts w:asciiTheme="minorHAnsi" w:hAnsiTheme="minorHAnsi" w:cs="Arial"/>
          <w:b/>
          <w:bCs/>
          <w:sz w:val="20"/>
          <w:szCs w:val="20"/>
        </w:rPr>
      </w:pPr>
    </w:p>
    <w:p w14:paraId="0ADB769B" w14:textId="77777777" w:rsidR="002076AA" w:rsidRDefault="002076AA" w:rsidP="002076AA">
      <w:pPr>
        <w:pStyle w:val="Paragrafoelenco"/>
        <w:numPr>
          <w:ilvl w:val="0"/>
          <w:numId w:val="10"/>
        </w:numPr>
        <w:spacing w:line="360" w:lineRule="auto"/>
        <w:jc w:val="both"/>
        <w:rPr>
          <w:rFonts w:ascii="Calibri" w:hAnsi="Calibri" w:cs="Arial"/>
          <w:sz w:val="20"/>
          <w:szCs w:val="20"/>
        </w:rPr>
      </w:pPr>
      <w:r>
        <w:rPr>
          <w:rFonts w:ascii="Calibri" w:hAnsi="Calibri" w:cs="Arial"/>
          <w:sz w:val="20"/>
          <w:szCs w:val="20"/>
        </w:rPr>
        <w:lastRenderedPageBreak/>
        <w:t>Si possiede per i processi di produzione, vendita e manutenzione relativi a soluzioni similari, di documentazione e certificazione specifica</w:t>
      </w:r>
      <w:r w:rsidRPr="00145AC5">
        <w:rPr>
          <w:rFonts w:ascii="Calibri" w:hAnsi="Calibri" w:cs="Arial"/>
          <w:sz w:val="20"/>
          <w:szCs w:val="20"/>
        </w:rPr>
        <w:t xml:space="preserve"> (per es. certificati ISO 9001), anche al fine di assicurare la gestione dell’intero ciclo di vita del sistema attraverso precisi standard, processi di c</w:t>
      </w:r>
      <w:r>
        <w:rPr>
          <w:rFonts w:ascii="Calibri" w:hAnsi="Calibri" w:cs="Arial"/>
          <w:sz w:val="20"/>
          <w:szCs w:val="20"/>
        </w:rPr>
        <w:t>onfigurazione e di manutenzione?</w:t>
      </w:r>
    </w:p>
    <w:p w14:paraId="2061CB30" w14:textId="77777777" w:rsidR="002076AA" w:rsidRDefault="002076AA" w:rsidP="002076AA">
      <w:pPr>
        <w:pStyle w:val="BodyText21"/>
        <w:numPr>
          <w:ilvl w:val="0"/>
          <w:numId w:val="11"/>
        </w:numPr>
        <w:spacing w:line="360" w:lineRule="auto"/>
        <w:rPr>
          <w:rFonts w:asciiTheme="minorHAnsi" w:hAnsiTheme="minorHAnsi" w:cs="Arial"/>
          <w:sz w:val="20"/>
          <w:szCs w:val="20"/>
        </w:rPr>
      </w:pPr>
      <w:r>
        <w:rPr>
          <w:rFonts w:asciiTheme="minorHAnsi" w:hAnsiTheme="minorHAnsi" w:cs="Arial"/>
          <w:sz w:val="20"/>
          <w:szCs w:val="20"/>
        </w:rPr>
        <w:t>Si (referenziare gli estremi della certificazione)</w:t>
      </w:r>
    </w:p>
    <w:p w14:paraId="62BCB0B9"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w:t>
      </w:r>
    </w:p>
    <w:p w14:paraId="7BD4A390"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w:t>
      </w:r>
    </w:p>
    <w:p w14:paraId="2793BCE8"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w:t>
      </w:r>
    </w:p>
    <w:p w14:paraId="69C2D1D7"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w:t>
      </w:r>
    </w:p>
    <w:p w14:paraId="71F922D5"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w:t>
      </w:r>
    </w:p>
    <w:p w14:paraId="7DBA3DA3"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w:t>
      </w:r>
    </w:p>
    <w:p w14:paraId="6CDB8495" w14:textId="77777777" w:rsidR="002076AA" w:rsidRDefault="002076AA" w:rsidP="002076AA">
      <w:pPr>
        <w:pStyle w:val="BodyText21"/>
        <w:spacing w:line="360" w:lineRule="auto"/>
        <w:rPr>
          <w:rFonts w:asciiTheme="minorHAnsi" w:hAnsiTheme="minorHAnsi" w:cs="Arial"/>
          <w:sz w:val="20"/>
          <w:szCs w:val="20"/>
        </w:rPr>
      </w:pPr>
    </w:p>
    <w:p w14:paraId="372D814B" w14:textId="44306A81" w:rsidR="004A19B2" w:rsidRPr="001E41E3" w:rsidRDefault="00952E4B" w:rsidP="00952E4B">
      <w:pPr>
        <w:pStyle w:val="Paragrafoelenco"/>
        <w:numPr>
          <w:ilvl w:val="0"/>
          <w:numId w:val="10"/>
        </w:numPr>
        <w:spacing w:line="360" w:lineRule="auto"/>
        <w:jc w:val="both"/>
        <w:rPr>
          <w:rFonts w:ascii="Calibri" w:hAnsi="Calibri" w:cs="Arial"/>
          <w:sz w:val="20"/>
          <w:szCs w:val="20"/>
        </w:rPr>
      </w:pPr>
      <w:r w:rsidRPr="00952E4B">
        <w:rPr>
          <w:rFonts w:ascii="Calibri" w:hAnsi="Calibri" w:cs="Arial"/>
          <w:sz w:val="20"/>
          <w:szCs w:val="20"/>
        </w:rPr>
        <w:t xml:space="preserve">Si chiede di indicare il fatturato globale dell’impresa </w:t>
      </w:r>
      <w:r w:rsidR="000942CC" w:rsidRPr="000942CC">
        <w:rPr>
          <w:rFonts w:ascii="Calibri" w:hAnsi="Calibri" w:cs="Arial"/>
          <w:sz w:val="20"/>
          <w:szCs w:val="20"/>
        </w:rPr>
        <w:t>riferito ai migliori tre esercizi degli ultimi cinque disponibili</w:t>
      </w:r>
      <w:r w:rsidR="00A42F73">
        <w:rPr>
          <w:rFonts w:ascii="Calibri" w:hAnsi="Calibri" w:cs="Arial"/>
          <w:sz w:val="20"/>
          <w:szCs w:val="20"/>
        </w:rPr>
        <w:t xml:space="preserve">, </w:t>
      </w:r>
      <w:r w:rsidR="00A42F73" w:rsidRPr="00A42F73">
        <w:rPr>
          <w:rFonts w:ascii="Calibri" w:hAnsi="Calibri" w:cs="Arial"/>
          <w:sz w:val="20"/>
          <w:szCs w:val="20"/>
        </w:rPr>
        <w:t>specificando gli anni di riferimento</w:t>
      </w:r>
    </w:p>
    <w:p w14:paraId="67C5F548" w14:textId="77777777" w:rsidR="004A19B2" w:rsidRPr="00541FBE" w:rsidRDefault="004A19B2" w:rsidP="004A19B2">
      <w:pPr>
        <w:pStyle w:val="Titolo1"/>
        <w:numPr>
          <w:ilvl w:val="0"/>
          <w:numId w:val="0"/>
        </w:numPr>
        <w:ind w:left="284"/>
        <w:rPr>
          <w:rFonts w:asciiTheme="minorHAnsi" w:hAnsiTheme="minorHAnsi"/>
          <w:b w:val="0"/>
          <w:sz w:val="24"/>
        </w:rPr>
      </w:pPr>
      <w:r w:rsidRPr="00541FBE">
        <w:rPr>
          <w:rFonts w:asciiTheme="minorHAnsi" w:hAnsiTheme="minorHAnsi"/>
          <w:sz w:val="24"/>
        </w:rPr>
        <w:t>Risposta:</w:t>
      </w:r>
      <w:r w:rsidRPr="00541FBE">
        <w:rPr>
          <w:rFonts w:asciiTheme="minorHAnsi" w:hAnsiTheme="minorHAnsi" w:cs="Arial"/>
          <w:b w:val="0"/>
          <w:i/>
          <w:color w:val="FF0000"/>
          <w:szCs w:val="22"/>
        </w:rPr>
        <w:t xml:space="preserve"> </w:t>
      </w:r>
    </w:p>
    <w:p w14:paraId="305FBF99" w14:textId="77777777" w:rsidR="004A19B2" w:rsidRDefault="004A19B2" w:rsidP="004A19B2">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0"/>
          <w:szCs w:val="20"/>
        </w:rPr>
        <w:t>_______________________</w:t>
      </w:r>
    </w:p>
    <w:p w14:paraId="64460E65" w14:textId="77777777" w:rsidR="004A19B2" w:rsidRDefault="004A19B2" w:rsidP="004A19B2">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w:t>
      </w:r>
      <w:r>
        <w:rPr>
          <w:rFonts w:asciiTheme="minorHAnsi" w:hAnsiTheme="minorHAnsi"/>
          <w:sz w:val="20"/>
          <w:szCs w:val="20"/>
        </w:rPr>
        <w:t>_______________________</w:t>
      </w:r>
    </w:p>
    <w:p w14:paraId="6EA33346" w14:textId="77777777" w:rsidR="004A19B2" w:rsidRDefault="004A19B2" w:rsidP="004A19B2">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w:t>
      </w:r>
      <w:r>
        <w:rPr>
          <w:rFonts w:asciiTheme="minorHAnsi" w:hAnsiTheme="minorHAnsi"/>
          <w:sz w:val="20"/>
          <w:szCs w:val="20"/>
        </w:rPr>
        <w:t>_______________________</w:t>
      </w:r>
    </w:p>
    <w:p w14:paraId="05F2E491" w14:textId="77777777" w:rsidR="004A19B2" w:rsidRDefault="004A19B2" w:rsidP="004A19B2">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w:t>
      </w:r>
      <w:r>
        <w:rPr>
          <w:rFonts w:asciiTheme="minorHAnsi" w:hAnsiTheme="minorHAnsi"/>
          <w:sz w:val="20"/>
          <w:szCs w:val="20"/>
        </w:rPr>
        <w:t>_______________________</w:t>
      </w:r>
    </w:p>
    <w:p w14:paraId="36581B17" w14:textId="77777777" w:rsidR="004A19B2" w:rsidRDefault="004A19B2" w:rsidP="002076AA">
      <w:pPr>
        <w:pStyle w:val="BodyText21"/>
        <w:spacing w:line="360" w:lineRule="auto"/>
        <w:rPr>
          <w:rFonts w:asciiTheme="minorHAnsi" w:hAnsiTheme="minorHAnsi" w:cs="Arial"/>
          <w:sz w:val="20"/>
          <w:szCs w:val="20"/>
        </w:rPr>
      </w:pPr>
    </w:p>
    <w:p w14:paraId="3C7A3766" w14:textId="77777777" w:rsidR="002076AA" w:rsidRDefault="002076AA" w:rsidP="002076AA">
      <w:pPr>
        <w:pStyle w:val="Paragrafoelenco"/>
        <w:numPr>
          <w:ilvl w:val="0"/>
          <w:numId w:val="10"/>
        </w:numPr>
        <w:spacing w:line="360" w:lineRule="auto"/>
        <w:jc w:val="both"/>
        <w:rPr>
          <w:rFonts w:ascii="Calibri" w:hAnsi="Calibri" w:cs="Arial"/>
          <w:sz w:val="20"/>
          <w:szCs w:val="20"/>
        </w:rPr>
      </w:pPr>
      <w:r w:rsidRPr="001E41E3">
        <w:rPr>
          <w:rFonts w:ascii="Calibri" w:hAnsi="Calibri" w:cs="Arial"/>
          <w:sz w:val="20"/>
          <w:szCs w:val="20"/>
        </w:rPr>
        <w:t>Definire il mercato di riferimento PAC</w:t>
      </w:r>
      <w:r>
        <w:rPr>
          <w:rFonts w:ascii="Calibri" w:hAnsi="Calibri" w:cs="Arial"/>
          <w:sz w:val="20"/>
          <w:szCs w:val="20"/>
        </w:rPr>
        <w:t xml:space="preserve"> (Pubblica Amministrazione Centrale)</w:t>
      </w:r>
      <w:r w:rsidRPr="001E41E3">
        <w:rPr>
          <w:rFonts w:ascii="Calibri" w:hAnsi="Calibri" w:cs="Arial"/>
          <w:sz w:val="20"/>
          <w:szCs w:val="20"/>
        </w:rPr>
        <w:t xml:space="preserve"> e/o PAL </w:t>
      </w:r>
      <w:r>
        <w:rPr>
          <w:rFonts w:ascii="Calibri" w:hAnsi="Calibri" w:cs="Arial"/>
          <w:sz w:val="20"/>
          <w:szCs w:val="20"/>
        </w:rPr>
        <w:t xml:space="preserve">(Locale) </w:t>
      </w:r>
      <w:r w:rsidRPr="001E41E3">
        <w:rPr>
          <w:rFonts w:ascii="Calibri" w:hAnsi="Calibri" w:cs="Arial"/>
          <w:sz w:val="20"/>
          <w:szCs w:val="20"/>
        </w:rPr>
        <w:t xml:space="preserve">(l’Azienda che risponde deve indicare il proprio mercato di riferimento); definire inoltre il fatturato annuo per gli ultimi tre anni per vendita di </w:t>
      </w:r>
      <w:r>
        <w:rPr>
          <w:rFonts w:ascii="Calibri" w:hAnsi="Calibri" w:cs="Arial"/>
          <w:sz w:val="20"/>
          <w:szCs w:val="20"/>
        </w:rPr>
        <w:t>Soluzioni analoghe</w:t>
      </w:r>
      <w:r w:rsidRPr="001E41E3">
        <w:rPr>
          <w:rFonts w:ascii="Calibri" w:hAnsi="Calibri" w:cs="Arial"/>
          <w:sz w:val="20"/>
          <w:szCs w:val="20"/>
        </w:rPr>
        <w:t xml:space="preserve"> e relativa manutenzione riferito sia al mercato italiano che alla PA italiana.</w:t>
      </w:r>
      <w:r>
        <w:rPr>
          <w:rFonts w:ascii="Calibri" w:hAnsi="Calibri" w:cs="Arial"/>
          <w:sz w:val="20"/>
          <w:szCs w:val="20"/>
        </w:rPr>
        <w:t xml:space="preserve"> </w:t>
      </w:r>
    </w:p>
    <w:p w14:paraId="37AC13DB" w14:textId="77777777" w:rsidR="002076AA" w:rsidRPr="001E41E3" w:rsidRDefault="002076AA" w:rsidP="002076AA">
      <w:pPr>
        <w:pStyle w:val="Paragrafoelenco"/>
        <w:spacing w:line="360" w:lineRule="auto"/>
        <w:ind w:left="644"/>
        <w:jc w:val="both"/>
        <w:rPr>
          <w:rFonts w:ascii="Calibri" w:hAnsi="Calibri" w:cs="Arial"/>
          <w:sz w:val="20"/>
          <w:szCs w:val="20"/>
        </w:rPr>
      </w:pPr>
      <w:r>
        <w:rPr>
          <w:rFonts w:ascii="Calibri" w:hAnsi="Calibri" w:cs="Arial"/>
          <w:sz w:val="20"/>
          <w:szCs w:val="20"/>
        </w:rPr>
        <w:t xml:space="preserve">(Nel caso di </w:t>
      </w:r>
      <w:r w:rsidRPr="000B53AE">
        <w:rPr>
          <w:rFonts w:asciiTheme="minorHAnsi" w:hAnsiTheme="minorHAnsi" w:cs="Arial"/>
          <w:sz w:val="20"/>
          <w:szCs w:val="20"/>
        </w:rPr>
        <w:t xml:space="preserve">Casa </w:t>
      </w:r>
      <w:r>
        <w:rPr>
          <w:rFonts w:asciiTheme="minorHAnsi" w:hAnsiTheme="minorHAnsi" w:cs="Arial"/>
          <w:sz w:val="20"/>
          <w:szCs w:val="20"/>
        </w:rPr>
        <w:t>Madre</w:t>
      </w:r>
      <w:r>
        <w:rPr>
          <w:rFonts w:ascii="Calibri" w:hAnsi="Calibri" w:cs="Arial"/>
          <w:sz w:val="20"/>
          <w:szCs w:val="20"/>
        </w:rPr>
        <w:t>, spiegare la composizione e l’articolazione del canale di rivendita e se sia prevista una fornitura di tipo diretto verso le PA o solo ed esclusivamente tramite Canale di Rivendita)</w:t>
      </w:r>
    </w:p>
    <w:p w14:paraId="5F827D31" w14:textId="77777777" w:rsidR="002076AA" w:rsidRPr="00541FBE" w:rsidRDefault="002076AA" w:rsidP="002076AA">
      <w:pPr>
        <w:pStyle w:val="Titolo1"/>
        <w:numPr>
          <w:ilvl w:val="0"/>
          <w:numId w:val="0"/>
        </w:numPr>
        <w:ind w:left="284"/>
        <w:rPr>
          <w:rFonts w:asciiTheme="minorHAnsi" w:hAnsiTheme="minorHAnsi"/>
          <w:b w:val="0"/>
          <w:sz w:val="24"/>
        </w:rPr>
      </w:pPr>
      <w:r w:rsidRPr="00541FBE">
        <w:rPr>
          <w:rFonts w:asciiTheme="minorHAnsi" w:hAnsiTheme="minorHAnsi"/>
          <w:sz w:val="24"/>
        </w:rPr>
        <w:t>Risposta:</w:t>
      </w:r>
      <w:r w:rsidRPr="00541FBE">
        <w:rPr>
          <w:rFonts w:asciiTheme="minorHAnsi" w:hAnsiTheme="minorHAnsi" w:cs="Arial"/>
          <w:b w:val="0"/>
          <w:i/>
          <w:color w:val="FF0000"/>
          <w:szCs w:val="22"/>
        </w:rPr>
        <w:t xml:space="preserve"> </w:t>
      </w:r>
    </w:p>
    <w:p w14:paraId="2C09A954" w14:textId="77777777" w:rsidR="002076AA" w:rsidRDefault="002076AA" w:rsidP="002076AA">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0"/>
          <w:szCs w:val="20"/>
        </w:rPr>
        <w:t>_______________________</w:t>
      </w:r>
    </w:p>
    <w:p w14:paraId="09B1BDE8" w14:textId="77777777" w:rsidR="002076AA" w:rsidRDefault="002076AA" w:rsidP="002076AA">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w:t>
      </w:r>
      <w:r>
        <w:rPr>
          <w:rFonts w:asciiTheme="minorHAnsi" w:hAnsiTheme="minorHAnsi"/>
          <w:sz w:val="20"/>
          <w:szCs w:val="20"/>
        </w:rPr>
        <w:t>_______________________</w:t>
      </w:r>
    </w:p>
    <w:p w14:paraId="02CF1E37" w14:textId="77777777" w:rsidR="002076AA" w:rsidRDefault="002076AA" w:rsidP="002076AA">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w:t>
      </w:r>
      <w:r>
        <w:rPr>
          <w:rFonts w:asciiTheme="minorHAnsi" w:hAnsiTheme="minorHAnsi"/>
          <w:sz w:val="20"/>
          <w:szCs w:val="20"/>
        </w:rPr>
        <w:t>_______________________</w:t>
      </w:r>
    </w:p>
    <w:p w14:paraId="5EC6C88B" w14:textId="77777777" w:rsidR="002076AA" w:rsidRDefault="002076AA" w:rsidP="002076AA">
      <w:pPr>
        <w:ind w:left="284"/>
        <w:jc w:val="both"/>
        <w:rPr>
          <w:rFonts w:asciiTheme="minorHAnsi" w:hAnsiTheme="minorHAnsi"/>
          <w:sz w:val="20"/>
          <w:szCs w:val="20"/>
        </w:rPr>
      </w:pPr>
      <w:r w:rsidRPr="00541FBE">
        <w:rPr>
          <w:rFonts w:asciiTheme="minorHAnsi" w:hAnsiTheme="minorHAnsi"/>
          <w:sz w:val="20"/>
          <w:szCs w:val="20"/>
        </w:rPr>
        <w:t>___________________________________________________________</w:t>
      </w:r>
      <w:r>
        <w:rPr>
          <w:rFonts w:asciiTheme="minorHAnsi" w:hAnsiTheme="minorHAnsi"/>
          <w:sz w:val="20"/>
          <w:szCs w:val="20"/>
        </w:rPr>
        <w:t>_______________________</w:t>
      </w:r>
    </w:p>
    <w:p w14:paraId="0B086EEB" w14:textId="77777777" w:rsidR="002076AA" w:rsidRPr="00541FBE" w:rsidRDefault="002076AA" w:rsidP="002076AA">
      <w:pPr>
        <w:ind w:left="284"/>
        <w:jc w:val="both"/>
        <w:rPr>
          <w:rFonts w:asciiTheme="minorHAnsi" w:hAnsiTheme="minorHAnsi"/>
          <w:sz w:val="20"/>
          <w:szCs w:val="20"/>
        </w:rPr>
      </w:pPr>
    </w:p>
    <w:p w14:paraId="5D93DF7F" w14:textId="77777777" w:rsidR="002076AA" w:rsidRDefault="002076AA" w:rsidP="002076AA"/>
    <w:p w14:paraId="0CF1F8D6" w14:textId="77777777" w:rsidR="002076AA" w:rsidRPr="001E41E3" w:rsidRDefault="002076AA" w:rsidP="002076AA">
      <w:pPr>
        <w:pStyle w:val="Paragrafoelenco"/>
        <w:numPr>
          <w:ilvl w:val="0"/>
          <w:numId w:val="10"/>
        </w:numPr>
        <w:spacing w:line="360" w:lineRule="auto"/>
        <w:jc w:val="both"/>
        <w:rPr>
          <w:rFonts w:ascii="Calibri" w:hAnsi="Calibri" w:cs="Arial"/>
          <w:sz w:val="20"/>
          <w:szCs w:val="20"/>
        </w:rPr>
      </w:pPr>
      <w:r w:rsidRPr="001E41E3">
        <w:rPr>
          <w:rFonts w:ascii="Calibri" w:hAnsi="Calibri" w:cs="Arial"/>
          <w:sz w:val="20"/>
          <w:szCs w:val="20"/>
        </w:rPr>
        <w:lastRenderedPageBreak/>
        <w:t xml:space="preserve">Indicare che tipo di listino è disponibile per un corretto dimensionamento dell’impegno economico delle Amministrazioni </w:t>
      </w:r>
    </w:p>
    <w:p w14:paraId="39E3DA39" w14:textId="77777777" w:rsidR="002076AA" w:rsidRDefault="002076AA" w:rsidP="002076AA">
      <w:pPr>
        <w:pStyle w:val="BodyText21"/>
        <w:numPr>
          <w:ilvl w:val="0"/>
          <w:numId w:val="11"/>
        </w:numPr>
        <w:spacing w:line="360" w:lineRule="auto"/>
        <w:rPr>
          <w:rFonts w:asciiTheme="minorHAnsi" w:hAnsiTheme="minorHAnsi" w:cs="Arial"/>
          <w:sz w:val="20"/>
          <w:szCs w:val="20"/>
        </w:rPr>
      </w:pPr>
      <w:r>
        <w:rPr>
          <w:rFonts w:asciiTheme="minorHAnsi" w:hAnsiTheme="minorHAnsi" w:cs="Arial"/>
          <w:sz w:val="20"/>
          <w:szCs w:val="20"/>
        </w:rPr>
        <w:t>Listino Pubblico (indicare eventuale link o indicazioni per reperire tale listino)</w:t>
      </w:r>
    </w:p>
    <w:p w14:paraId="75378430" w14:textId="77777777" w:rsidR="002076AA" w:rsidRDefault="002076AA" w:rsidP="002076AA">
      <w:pPr>
        <w:pStyle w:val="BodyText21"/>
        <w:numPr>
          <w:ilvl w:val="0"/>
          <w:numId w:val="11"/>
        </w:numPr>
        <w:spacing w:line="360" w:lineRule="auto"/>
        <w:rPr>
          <w:rFonts w:asciiTheme="minorHAnsi" w:hAnsiTheme="minorHAnsi" w:cs="Arial"/>
          <w:sz w:val="20"/>
          <w:szCs w:val="20"/>
        </w:rPr>
      </w:pPr>
      <w:r>
        <w:rPr>
          <w:rFonts w:asciiTheme="minorHAnsi" w:hAnsiTheme="minorHAnsi" w:cs="Arial"/>
          <w:sz w:val="20"/>
          <w:szCs w:val="20"/>
        </w:rPr>
        <w:t>Listino su Richiesta (indicare nominativo a cui rivolgersi per ottenere tale listino)</w:t>
      </w:r>
    </w:p>
    <w:p w14:paraId="6DD70A37" w14:textId="77777777" w:rsidR="002076AA" w:rsidRDefault="002076AA" w:rsidP="002076AA">
      <w:pPr>
        <w:pStyle w:val="BodyText21"/>
        <w:numPr>
          <w:ilvl w:val="0"/>
          <w:numId w:val="11"/>
        </w:numPr>
        <w:spacing w:line="360" w:lineRule="auto"/>
        <w:rPr>
          <w:rFonts w:asciiTheme="minorHAnsi" w:hAnsiTheme="minorHAnsi" w:cs="Arial"/>
          <w:sz w:val="20"/>
          <w:szCs w:val="20"/>
        </w:rPr>
      </w:pPr>
      <w:r>
        <w:rPr>
          <w:rFonts w:asciiTheme="minorHAnsi" w:hAnsiTheme="minorHAnsi" w:cs="Arial"/>
          <w:sz w:val="20"/>
          <w:szCs w:val="20"/>
        </w:rPr>
        <w:t>Dimensionamento economico su base esclusivamente progettuale e/o di configurazione</w:t>
      </w:r>
    </w:p>
    <w:p w14:paraId="6DAFC5A8"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(spiegare) ________________________________________________________________</w:t>
      </w:r>
    </w:p>
    <w:p w14:paraId="0B3EAA9B"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_________________________________________________________________________</w:t>
      </w:r>
    </w:p>
    <w:p w14:paraId="7E23B76C"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_________________________________________________________________________</w:t>
      </w:r>
    </w:p>
    <w:p w14:paraId="3B40B680"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_________________________________________________________________________</w:t>
      </w:r>
    </w:p>
    <w:p w14:paraId="3CA6278A" w14:textId="77777777" w:rsidR="002076AA" w:rsidRDefault="002076AA" w:rsidP="002076AA">
      <w:pPr>
        <w:pStyle w:val="BodyText21"/>
        <w:spacing w:line="360" w:lineRule="auto"/>
        <w:ind w:left="1080"/>
        <w:rPr>
          <w:rFonts w:asciiTheme="minorHAnsi" w:hAnsiTheme="minorHAnsi" w:cs="Arial"/>
          <w:sz w:val="20"/>
          <w:szCs w:val="20"/>
        </w:rPr>
      </w:pPr>
      <w:r>
        <w:rPr>
          <w:rFonts w:asciiTheme="minorHAnsi" w:hAnsiTheme="minorHAnsi" w:cs="Arial"/>
          <w:sz w:val="20"/>
          <w:szCs w:val="20"/>
        </w:rPr>
        <w:t>_________________________________________________________________________</w:t>
      </w:r>
    </w:p>
    <w:p w14:paraId="4D47A735" w14:textId="77777777" w:rsidR="002076AA" w:rsidRDefault="002076AA" w:rsidP="002076AA">
      <w:pPr>
        <w:pStyle w:val="BodyText21"/>
        <w:spacing w:line="360" w:lineRule="auto"/>
        <w:rPr>
          <w:rFonts w:asciiTheme="minorHAnsi" w:hAnsiTheme="minorHAnsi" w:cs="Arial"/>
          <w:sz w:val="20"/>
          <w:szCs w:val="20"/>
        </w:rPr>
      </w:pPr>
    </w:p>
    <w:p w14:paraId="50E6806F" w14:textId="77777777" w:rsidR="002076AA" w:rsidRPr="001E41E3" w:rsidRDefault="002076AA" w:rsidP="002076AA">
      <w:pPr>
        <w:pStyle w:val="Paragrafoelenco"/>
        <w:numPr>
          <w:ilvl w:val="0"/>
          <w:numId w:val="10"/>
        </w:numPr>
        <w:spacing w:line="360" w:lineRule="auto"/>
        <w:jc w:val="both"/>
        <w:rPr>
          <w:rFonts w:ascii="Calibri" w:hAnsi="Calibri" w:cs="Arial"/>
          <w:sz w:val="20"/>
          <w:szCs w:val="20"/>
        </w:rPr>
      </w:pPr>
      <w:r w:rsidRPr="001E41E3">
        <w:rPr>
          <w:rFonts w:ascii="Calibri" w:hAnsi="Calibri" w:cs="Arial"/>
          <w:sz w:val="20"/>
          <w:szCs w:val="20"/>
        </w:rPr>
        <w:t>Indicare le condizioni economiche mediamente praticate per il tipo di fornitura in questione (es. sconti praticati sugli eventuali prezzi di listino/dimensionamento economico di massima, in funzione del volume economico dei fabbisogni rappresentati), con specifico dettaglio sui servizi di manutenzione dei singoli prodotti.</w:t>
      </w:r>
    </w:p>
    <w:p w14:paraId="35D9F68B" w14:textId="77777777" w:rsidR="002076AA" w:rsidRPr="001E41E3" w:rsidRDefault="002076AA" w:rsidP="002076AA">
      <w:pPr>
        <w:pStyle w:val="Titolo1"/>
        <w:numPr>
          <w:ilvl w:val="0"/>
          <w:numId w:val="0"/>
        </w:numPr>
        <w:ind w:left="284"/>
        <w:rPr>
          <w:rFonts w:asciiTheme="minorHAnsi" w:hAnsiTheme="minorHAnsi"/>
          <w:sz w:val="24"/>
        </w:rPr>
      </w:pPr>
      <w:r w:rsidRPr="001E41E3">
        <w:rPr>
          <w:rFonts w:asciiTheme="minorHAnsi" w:hAnsiTheme="minorHAnsi"/>
          <w:sz w:val="24"/>
        </w:rPr>
        <w:t>Risposta:</w:t>
      </w:r>
    </w:p>
    <w:p w14:paraId="05D412A2" w14:textId="77777777" w:rsidR="002076AA" w:rsidRPr="001E41E3" w:rsidRDefault="002076AA" w:rsidP="002076AA">
      <w:pPr>
        <w:pStyle w:val="Paragrafoelenco"/>
        <w:ind w:left="644"/>
        <w:jc w:val="both"/>
        <w:rPr>
          <w:rFonts w:asciiTheme="minorHAnsi" w:hAnsiTheme="minorHAnsi"/>
          <w:sz w:val="20"/>
          <w:szCs w:val="20"/>
        </w:rPr>
      </w:pPr>
      <w:r w:rsidRPr="001E41E3">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0"/>
          <w:szCs w:val="20"/>
        </w:rPr>
        <w:t>___________</w:t>
      </w:r>
    </w:p>
    <w:p w14:paraId="33DB860D" w14:textId="77777777" w:rsidR="002076AA" w:rsidRDefault="002076AA" w:rsidP="002076AA">
      <w:pPr>
        <w:pStyle w:val="Paragrafoelenco"/>
        <w:ind w:left="644"/>
      </w:pPr>
    </w:p>
    <w:p w14:paraId="07B27937" w14:textId="77777777" w:rsidR="002076AA" w:rsidRPr="001E41E3" w:rsidRDefault="002076AA" w:rsidP="002076AA">
      <w:pPr>
        <w:pStyle w:val="Paragrafoelenco"/>
        <w:numPr>
          <w:ilvl w:val="0"/>
          <w:numId w:val="10"/>
        </w:numPr>
        <w:spacing w:line="360" w:lineRule="auto"/>
        <w:jc w:val="both"/>
        <w:rPr>
          <w:rFonts w:ascii="Calibri" w:hAnsi="Calibri" w:cs="Arial"/>
          <w:sz w:val="20"/>
          <w:szCs w:val="20"/>
        </w:rPr>
      </w:pPr>
      <w:r w:rsidRPr="001E41E3">
        <w:rPr>
          <w:rFonts w:ascii="Calibri" w:hAnsi="Calibri" w:cs="Arial"/>
          <w:sz w:val="20"/>
          <w:szCs w:val="20"/>
        </w:rPr>
        <w:t xml:space="preserve">Indicare le eventuali referenze dimostrabili per la fornitura di </w:t>
      </w:r>
      <w:r>
        <w:rPr>
          <w:rFonts w:ascii="Calibri" w:hAnsi="Calibri" w:cs="Arial"/>
          <w:sz w:val="20"/>
          <w:szCs w:val="20"/>
        </w:rPr>
        <w:t>soluzioni analoghe</w:t>
      </w:r>
      <w:r w:rsidRPr="001E41E3">
        <w:rPr>
          <w:rFonts w:ascii="Calibri" w:hAnsi="Calibri" w:cs="Arial"/>
          <w:sz w:val="20"/>
          <w:szCs w:val="20"/>
        </w:rPr>
        <w:t xml:space="preserve"> a Pubbliche Amministrazioni Centrali o Locali italiane di grandi dimensioni negli ultimi </w:t>
      </w:r>
      <w:proofErr w:type="gramStart"/>
      <w:r w:rsidRPr="001E41E3">
        <w:rPr>
          <w:rFonts w:ascii="Calibri" w:hAnsi="Calibri" w:cs="Arial"/>
          <w:sz w:val="20"/>
          <w:szCs w:val="20"/>
        </w:rPr>
        <w:t>3</w:t>
      </w:r>
      <w:proofErr w:type="gramEnd"/>
      <w:r w:rsidRPr="001E41E3">
        <w:rPr>
          <w:rFonts w:ascii="Calibri" w:hAnsi="Calibri" w:cs="Arial"/>
          <w:sz w:val="20"/>
          <w:szCs w:val="20"/>
        </w:rPr>
        <w:t xml:space="preserve"> anni.</w:t>
      </w:r>
    </w:p>
    <w:p w14:paraId="64E0FA4F" w14:textId="77777777" w:rsidR="002076AA" w:rsidRPr="001E41E3" w:rsidRDefault="002076AA" w:rsidP="002076AA">
      <w:pPr>
        <w:pStyle w:val="Titolo1"/>
        <w:numPr>
          <w:ilvl w:val="0"/>
          <w:numId w:val="0"/>
        </w:numPr>
        <w:ind w:left="284"/>
        <w:rPr>
          <w:rFonts w:asciiTheme="minorHAnsi" w:hAnsiTheme="minorHAnsi"/>
          <w:sz w:val="24"/>
        </w:rPr>
      </w:pPr>
      <w:r w:rsidRPr="00541FBE">
        <w:rPr>
          <w:rFonts w:asciiTheme="minorHAnsi" w:hAnsiTheme="minorHAnsi"/>
          <w:sz w:val="24"/>
        </w:rPr>
        <w:t>Risposta:</w:t>
      </w:r>
    </w:p>
    <w:p w14:paraId="25EFA5E8" w14:textId="77777777" w:rsidR="002076AA" w:rsidRDefault="002076AA" w:rsidP="002076AA">
      <w:pPr>
        <w:pStyle w:val="Paragrafoelenco"/>
        <w:ind w:left="644"/>
        <w:jc w:val="both"/>
        <w:rPr>
          <w:rFonts w:asciiTheme="minorHAnsi" w:hAnsiTheme="minorHAnsi"/>
          <w:sz w:val="20"/>
          <w:szCs w:val="20"/>
        </w:rPr>
      </w:pPr>
      <w:r w:rsidRPr="00541FBE">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0"/>
          <w:szCs w:val="20"/>
        </w:rPr>
        <w:t>__________</w:t>
      </w:r>
    </w:p>
    <w:p w14:paraId="75BC7CC3" w14:textId="77777777" w:rsidR="002076AA" w:rsidRDefault="002076AA" w:rsidP="002076AA">
      <w:pPr>
        <w:pStyle w:val="Paragrafoelenco"/>
        <w:ind w:left="644"/>
        <w:jc w:val="both"/>
        <w:rPr>
          <w:rFonts w:asciiTheme="minorHAnsi" w:hAnsiTheme="minorHAnsi"/>
          <w:sz w:val="20"/>
          <w:szCs w:val="20"/>
        </w:rPr>
      </w:pPr>
    </w:p>
    <w:p w14:paraId="5B0B299E" w14:textId="77777777" w:rsidR="002076AA" w:rsidRPr="001E41E3" w:rsidRDefault="002076AA" w:rsidP="002076AA">
      <w:pPr>
        <w:pStyle w:val="Paragrafoelenco"/>
        <w:ind w:left="644"/>
        <w:jc w:val="both"/>
        <w:rPr>
          <w:rFonts w:asciiTheme="minorHAnsi" w:hAnsiTheme="minorHAnsi"/>
          <w:sz w:val="20"/>
          <w:szCs w:val="20"/>
        </w:rPr>
      </w:pPr>
    </w:p>
    <w:p w14:paraId="56487813" w14:textId="77777777" w:rsidR="002076AA" w:rsidRPr="00541FBE" w:rsidRDefault="002076AA" w:rsidP="002076AA">
      <w:pPr>
        <w:jc w:val="both"/>
        <w:rPr>
          <w:rFonts w:asciiTheme="minorHAnsi" w:hAnsiTheme="minorHAnsi"/>
          <w:sz w:val="20"/>
          <w:szCs w:val="20"/>
        </w:rPr>
      </w:pPr>
    </w:p>
    <w:p w14:paraId="35335D66" w14:textId="77777777" w:rsidR="002076AA" w:rsidRDefault="002076AA" w:rsidP="002076AA">
      <w:pPr>
        <w:pStyle w:val="Paragrafoelenco"/>
        <w:numPr>
          <w:ilvl w:val="0"/>
          <w:numId w:val="10"/>
        </w:numPr>
        <w:spacing w:line="360" w:lineRule="auto"/>
        <w:jc w:val="both"/>
        <w:rPr>
          <w:rFonts w:ascii="Calibri" w:hAnsi="Calibri" w:cs="Arial"/>
          <w:sz w:val="20"/>
          <w:szCs w:val="20"/>
        </w:rPr>
      </w:pPr>
      <w:r>
        <w:rPr>
          <w:rFonts w:ascii="Calibri" w:hAnsi="Calibri" w:cs="Arial"/>
          <w:sz w:val="20"/>
          <w:szCs w:val="20"/>
        </w:rPr>
        <w:t>Nell’ambito delle forniture di servizi come quelli descritti in premessa, è possibile predeterminare fin da ora chi eseguirà fisicamente l’erogazione dei servizi di manutenzione richiesti?</w:t>
      </w:r>
    </w:p>
    <w:p w14:paraId="0E92EC7F" w14:textId="77777777" w:rsidR="002076AA" w:rsidRPr="001E41E3" w:rsidRDefault="002076AA" w:rsidP="002076AA">
      <w:pPr>
        <w:pStyle w:val="Titolo1"/>
        <w:numPr>
          <w:ilvl w:val="0"/>
          <w:numId w:val="0"/>
        </w:numPr>
        <w:ind w:left="284"/>
        <w:rPr>
          <w:rFonts w:asciiTheme="minorHAnsi" w:hAnsiTheme="minorHAnsi"/>
          <w:sz w:val="24"/>
        </w:rPr>
      </w:pPr>
      <w:r w:rsidRPr="00541FBE">
        <w:rPr>
          <w:rFonts w:asciiTheme="minorHAnsi" w:hAnsiTheme="minorHAnsi"/>
          <w:sz w:val="24"/>
        </w:rPr>
        <w:t>Risposta:</w:t>
      </w:r>
    </w:p>
    <w:p w14:paraId="358780D4" w14:textId="33654CE0" w:rsidR="002076AA" w:rsidRPr="00653D4B" w:rsidRDefault="002076AA" w:rsidP="002076AA">
      <w:pPr>
        <w:pStyle w:val="Paragrafoelenco"/>
        <w:spacing w:line="360" w:lineRule="auto"/>
        <w:ind w:left="644"/>
        <w:rPr>
          <w:rFonts w:ascii="Calibri" w:hAnsi="Calibri" w:cs="Arial"/>
          <w:sz w:val="20"/>
          <w:szCs w:val="20"/>
        </w:rPr>
      </w:pPr>
      <w:r w:rsidRPr="00653D4B">
        <w:rPr>
          <w:rFonts w:ascii="Calibri" w:hAnsi="Calibri" w:cs="Arial"/>
          <w:sz w:val="20"/>
          <w:szCs w:val="20"/>
        </w:rPr>
        <w:t xml:space="preserve">Servizio di manutenzione </w:t>
      </w:r>
      <w:r w:rsidR="00BA5798">
        <w:rPr>
          <w:rFonts w:ascii="Calibri" w:hAnsi="Calibri" w:cs="Arial"/>
          <w:sz w:val="20"/>
          <w:szCs w:val="20"/>
        </w:rPr>
        <w:t>sulle Tape L</w:t>
      </w:r>
      <w:r w:rsidR="009040E6">
        <w:rPr>
          <w:rFonts w:ascii="Calibri" w:hAnsi="Calibri" w:cs="Arial"/>
          <w:sz w:val="20"/>
          <w:szCs w:val="20"/>
        </w:rPr>
        <w:t>ibrary IBM</w:t>
      </w:r>
      <w:r w:rsidRPr="00653D4B">
        <w:rPr>
          <w:rFonts w:ascii="Calibri" w:hAnsi="Calibri" w:cs="Arial"/>
          <w:sz w:val="20"/>
          <w:szCs w:val="20"/>
        </w:rPr>
        <w:t>;</w:t>
      </w:r>
    </w:p>
    <w:p w14:paraId="2A6623CD" w14:textId="77777777" w:rsidR="002076AA" w:rsidRDefault="002076AA" w:rsidP="002076AA">
      <w:pPr>
        <w:pStyle w:val="BodyText21"/>
        <w:numPr>
          <w:ilvl w:val="0"/>
          <w:numId w:val="11"/>
        </w:numPr>
        <w:spacing w:line="360" w:lineRule="auto"/>
        <w:rPr>
          <w:rFonts w:asciiTheme="minorHAnsi" w:hAnsiTheme="minorHAnsi" w:cs="Arial"/>
          <w:sz w:val="20"/>
          <w:szCs w:val="20"/>
        </w:rPr>
      </w:pPr>
      <w:r>
        <w:rPr>
          <w:rFonts w:asciiTheme="minorHAnsi" w:hAnsiTheme="minorHAnsi" w:cs="Arial"/>
          <w:sz w:val="20"/>
          <w:szCs w:val="20"/>
        </w:rPr>
        <w:t>Casa Madre (Disponibilità del servizio a catalogo)</w:t>
      </w:r>
    </w:p>
    <w:p w14:paraId="2B7840B2" w14:textId="77777777" w:rsidR="002076AA" w:rsidRDefault="002076AA" w:rsidP="002076AA">
      <w:pPr>
        <w:pStyle w:val="BodyText21"/>
        <w:numPr>
          <w:ilvl w:val="0"/>
          <w:numId w:val="11"/>
        </w:numPr>
        <w:spacing w:line="360" w:lineRule="auto"/>
        <w:rPr>
          <w:rFonts w:asciiTheme="minorHAnsi" w:hAnsiTheme="minorHAnsi" w:cs="Arial"/>
          <w:sz w:val="20"/>
          <w:szCs w:val="20"/>
        </w:rPr>
      </w:pPr>
      <w:r>
        <w:rPr>
          <w:rFonts w:asciiTheme="minorHAnsi" w:hAnsiTheme="minorHAnsi" w:cs="Arial"/>
          <w:sz w:val="20"/>
          <w:szCs w:val="20"/>
        </w:rPr>
        <w:t>Rivenditore/Distributore/System Integrator</w:t>
      </w:r>
    </w:p>
    <w:p w14:paraId="3F56C29B" w14:textId="77777777" w:rsidR="002076AA" w:rsidRDefault="002076AA" w:rsidP="002076AA">
      <w:pPr>
        <w:pStyle w:val="Paragrafoelenco"/>
        <w:spacing w:line="360" w:lineRule="auto"/>
        <w:ind w:left="644"/>
        <w:jc w:val="both"/>
        <w:rPr>
          <w:rFonts w:ascii="Calibri" w:hAnsi="Calibri" w:cs="Arial"/>
          <w:sz w:val="20"/>
          <w:szCs w:val="20"/>
        </w:rPr>
      </w:pPr>
      <w:r>
        <w:rPr>
          <w:rFonts w:ascii="Calibri" w:hAnsi="Calibri" w:cs="Arial"/>
          <w:sz w:val="20"/>
          <w:szCs w:val="20"/>
        </w:rPr>
        <w:t>Note:</w:t>
      </w:r>
    </w:p>
    <w:p w14:paraId="7E749B42" w14:textId="77777777" w:rsidR="002076AA" w:rsidRDefault="002076AA" w:rsidP="002076AA">
      <w:pPr>
        <w:pStyle w:val="Paragrafoelenco"/>
        <w:ind w:left="644"/>
        <w:jc w:val="both"/>
        <w:rPr>
          <w:rFonts w:asciiTheme="minorHAnsi" w:hAnsiTheme="minorHAnsi"/>
          <w:sz w:val="20"/>
          <w:szCs w:val="20"/>
        </w:rPr>
      </w:pPr>
      <w:r w:rsidRPr="00541FBE">
        <w:rPr>
          <w:rFonts w:asciiTheme="minorHAnsi" w:hAnsiTheme="minorHAnsi"/>
          <w:sz w:val="20"/>
          <w:szCs w:val="20"/>
        </w:rPr>
        <w:lastRenderedPageBreak/>
        <w:t>_________________________________________________________________________________________________________________________________________________</w:t>
      </w:r>
      <w:r>
        <w:rPr>
          <w:rFonts w:asciiTheme="minorHAnsi" w:hAnsiTheme="minorHAnsi"/>
          <w:sz w:val="20"/>
          <w:szCs w:val="20"/>
        </w:rPr>
        <w:t>__________</w:t>
      </w:r>
    </w:p>
    <w:p w14:paraId="5A7522D8" w14:textId="77777777" w:rsidR="002076AA" w:rsidRDefault="002076AA" w:rsidP="002076AA">
      <w:pPr>
        <w:pStyle w:val="Paragrafoelenco"/>
        <w:spacing w:line="360" w:lineRule="auto"/>
        <w:ind w:left="644"/>
        <w:jc w:val="both"/>
        <w:rPr>
          <w:rFonts w:ascii="Calibri" w:hAnsi="Calibri" w:cs="Arial"/>
          <w:sz w:val="20"/>
          <w:szCs w:val="20"/>
        </w:rPr>
      </w:pPr>
    </w:p>
    <w:p w14:paraId="5AC699A6" w14:textId="77777777" w:rsidR="002076AA" w:rsidRDefault="002076AA" w:rsidP="002076AA">
      <w:pPr>
        <w:pStyle w:val="Paragrafoelenco"/>
        <w:spacing w:line="360" w:lineRule="auto"/>
        <w:ind w:left="644"/>
        <w:jc w:val="both"/>
        <w:rPr>
          <w:rFonts w:ascii="Calibri" w:hAnsi="Calibri" w:cs="Arial"/>
          <w:sz w:val="20"/>
          <w:szCs w:val="20"/>
        </w:rPr>
      </w:pPr>
    </w:p>
    <w:p w14:paraId="100165B3" w14:textId="5042EA71" w:rsidR="002076AA" w:rsidRDefault="002076AA" w:rsidP="002076AA">
      <w:pPr>
        <w:pStyle w:val="Paragrafoelenco"/>
        <w:numPr>
          <w:ilvl w:val="0"/>
          <w:numId w:val="10"/>
        </w:numPr>
        <w:spacing w:line="360" w:lineRule="auto"/>
        <w:jc w:val="both"/>
        <w:rPr>
          <w:rFonts w:ascii="Calibri" w:hAnsi="Calibri" w:cs="Arial"/>
          <w:sz w:val="20"/>
          <w:szCs w:val="20"/>
        </w:rPr>
      </w:pPr>
      <w:r>
        <w:rPr>
          <w:rFonts w:ascii="Calibri" w:hAnsi="Calibri" w:cs="Arial"/>
          <w:sz w:val="20"/>
          <w:szCs w:val="20"/>
        </w:rPr>
        <w:t>Data la tipologia di soluzioni oggetto di fornitura, i Servizi Professionali e specialistici definiti in questa Consultazione di mercato, servizi strettamente correlati alla fornitura stessa, sono servizi a catalogo di Casa Madre, a valore aggiunto (erogato dai distributori/rivenditori/system integrator) o erogati da terze parti?</w:t>
      </w:r>
    </w:p>
    <w:p w14:paraId="20A74930" w14:textId="77777777" w:rsidR="002076AA" w:rsidRPr="001E41E3" w:rsidRDefault="002076AA" w:rsidP="002076AA">
      <w:pPr>
        <w:pStyle w:val="Titolo1"/>
        <w:numPr>
          <w:ilvl w:val="0"/>
          <w:numId w:val="0"/>
        </w:numPr>
        <w:ind w:left="284"/>
        <w:rPr>
          <w:rFonts w:asciiTheme="minorHAnsi" w:hAnsiTheme="minorHAnsi"/>
          <w:sz w:val="24"/>
        </w:rPr>
      </w:pPr>
      <w:r w:rsidRPr="00541FBE">
        <w:rPr>
          <w:rFonts w:asciiTheme="minorHAnsi" w:hAnsiTheme="minorHAnsi"/>
          <w:sz w:val="24"/>
        </w:rPr>
        <w:t>Risposta:</w:t>
      </w:r>
    </w:p>
    <w:p w14:paraId="4CAF8304" w14:textId="77777777" w:rsidR="002076AA" w:rsidRPr="001E41E3" w:rsidRDefault="002076AA" w:rsidP="002076AA">
      <w:pPr>
        <w:pStyle w:val="Paragrafoelenco"/>
        <w:ind w:left="644"/>
        <w:jc w:val="both"/>
        <w:rPr>
          <w:rFonts w:asciiTheme="minorHAnsi" w:hAnsiTheme="minorHAnsi"/>
          <w:sz w:val="20"/>
          <w:szCs w:val="20"/>
        </w:rPr>
      </w:pPr>
      <w:r w:rsidRPr="00541FBE">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 w:val="20"/>
          <w:szCs w:val="20"/>
        </w:rPr>
        <w:t>__________</w:t>
      </w:r>
    </w:p>
    <w:p w14:paraId="0441FC5C" w14:textId="77777777" w:rsidR="002076AA" w:rsidRPr="00C47ACD" w:rsidRDefault="002076AA" w:rsidP="002076AA">
      <w:pPr>
        <w:spacing w:line="276" w:lineRule="auto"/>
        <w:jc w:val="both"/>
        <w:rPr>
          <w:rFonts w:asciiTheme="minorHAnsi" w:hAnsiTheme="minorHAnsi" w:cs="Arial"/>
          <w:bCs/>
          <w:sz w:val="20"/>
          <w:szCs w:val="20"/>
        </w:rPr>
      </w:pPr>
    </w:p>
    <w:p w14:paraId="727B08F8" w14:textId="77777777" w:rsidR="002076AA" w:rsidRDefault="002076AA" w:rsidP="002076AA">
      <w:pPr>
        <w:pStyle w:val="Paragrafoelenco"/>
        <w:spacing w:line="276" w:lineRule="auto"/>
        <w:ind w:left="360"/>
        <w:jc w:val="both"/>
        <w:rPr>
          <w:rFonts w:asciiTheme="minorHAnsi" w:hAnsiTheme="minorHAnsi" w:cs="Arial"/>
          <w:bCs/>
          <w:sz w:val="20"/>
          <w:szCs w:val="20"/>
        </w:rPr>
      </w:pPr>
    </w:p>
    <w:p w14:paraId="75141118" w14:textId="77777777" w:rsidR="002076AA" w:rsidRPr="008E6D1B" w:rsidRDefault="002076AA" w:rsidP="002076AA">
      <w:pPr>
        <w:pStyle w:val="Paragrafoelenco"/>
        <w:numPr>
          <w:ilvl w:val="0"/>
          <w:numId w:val="10"/>
        </w:numPr>
        <w:spacing w:line="360" w:lineRule="auto"/>
        <w:jc w:val="both"/>
        <w:rPr>
          <w:rFonts w:ascii="Calibri" w:hAnsi="Calibri" w:cs="Arial"/>
          <w:sz w:val="20"/>
          <w:szCs w:val="20"/>
        </w:rPr>
      </w:pPr>
      <w:r w:rsidRPr="00F62B74">
        <w:rPr>
          <w:rFonts w:ascii="Calibri" w:hAnsi="Calibri" w:cs="Arial"/>
          <w:sz w:val="20"/>
          <w:szCs w:val="20"/>
        </w:rPr>
        <w:t>Indicare il numero di personale dipendente alla data; nel caso di Casa Madre, inserire anche una stima o comunque un quadro potenziale della dimensione aziendale tipica del proprio canale distributivo</w:t>
      </w:r>
    </w:p>
    <w:p w14:paraId="1DE0C16E" w14:textId="77777777" w:rsidR="002076AA" w:rsidRPr="008E6D1B" w:rsidRDefault="002076AA" w:rsidP="002076AA">
      <w:pPr>
        <w:pStyle w:val="Titolo1"/>
        <w:numPr>
          <w:ilvl w:val="0"/>
          <w:numId w:val="0"/>
        </w:numPr>
        <w:ind w:left="284"/>
        <w:rPr>
          <w:rFonts w:asciiTheme="minorHAnsi" w:hAnsiTheme="minorHAnsi"/>
          <w:sz w:val="24"/>
        </w:rPr>
      </w:pPr>
      <w:r w:rsidRPr="008E6D1B">
        <w:rPr>
          <w:rFonts w:asciiTheme="minorHAnsi" w:hAnsiTheme="minorHAnsi"/>
          <w:sz w:val="24"/>
        </w:rPr>
        <w:t>Risposta:</w:t>
      </w:r>
    </w:p>
    <w:p w14:paraId="5269483D" w14:textId="77777777" w:rsidR="002076AA" w:rsidRPr="008E6D1B" w:rsidRDefault="002076AA" w:rsidP="002076AA">
      <w:pPr>
        <w:pStyle w:val="Paragrafoelenco"/>
        <w:ind w:left="644"/>
        <w:jc w:val="both"/>
        <w:rPr>
          <w:rFonts w:asciiTheme="minorHAnsi" w:hAnsiTheme="minorHAnsi"/>
          <w:sz w:val="20"/>
          <w:szCs w:val="20"/>
        </w:rPr>
      </w:pPr>
      <w:r w:rsidRPr="008E6D1B">
        <w:rPr>
          <w:rFonts w:asciiTheme="minorHAnsi" w:hAnsi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w:t>
      </w:r>
    </w:p>
    <w:p w14:paraId="516D090F" w14:textId="77777777" w:rsidR="006C414B" w:rsidRDefault="006C414B">
      <w:pPr>
        <w:ind w:left="284"/>
        <w:jc w:val="both"/>
        <w:rPr>
          <w:rFonts w:ascii="Arial" w:hAnsi="Arial" w:cs="Arial"/>
          <w:bCs/>
          <w:color w:val="FF0000"/>
          <w:sz w:val="20"/>
          <w:szCs w:val="20"/>
        </w:rPr>
      </w:pPr>
    </w:p>
    <w:p w14:paraId="6BC10B93" w14:textId="77777777" w:rsidR="002076AA" w:rsidRDefault="002076AA">
      <w:pPr>
        <w:ind w:left="284"/>
        <w:jc w:val="both"/>
        <w:rPr>
          <w:rFonts w:ascii="Arial" w:hAnsi="Arial" w:cs="Arial"/>
          <w:bCs/>
          <w:color w:val="FF0000"/>
          <w:sz w:val="20"/>
          <w:szCs w:val="20"/>
        </w:rPr>
      </w:pPr>
    </w:p>
    <w:p w14:paraId="7AF7C3C0" w14:textId="77777777" w:rsidR="002076AA" w:rsidRDefault="002076AA">
      <w:pPr>
        <w:ind w:left="284"/>
        <w:jc w:val="both"/>
        <w:rPr>
          <w:rFonts w:ascii="Arial" w:hAnsi="Arial" w:cs="Arial"/>
          <w:bCs/>
          <w:color w:val="FF0000"/>
          <w:sz w:val="20"/>
          <w:szCs w:val="20"/>
        </w:rPr>
      </w:pPr>
    </w:p>
    <w:p w14:paraId="1F4C4349" w14:textId="77777777" w:rsidR="002076AA" w:rsidRDefault="002076AA">
      <w:pPr>
        <w:ind w:left="284"/>
        <w:jc w:val="both"/>
        <w:rPr>
          <w:rFonts w:ascii="Arial" w:hAnsi="Arial" w:cs="Arial"/>
          <w:bCs/>
          <w:color w:val="FF0000"/>
          <w:sz w:val="20"/>
          <w:szCs w:val="20"/>
        </w:rPr>
      </w:pPr>
    </w:p>
    <w:p w14:paraId="6D0964D7" w14:textId="77777777" w:rsidR="006C414B" w:rsidRPr="00744437" w:rsidRDefault="006C414B">
      <w:pPr>
        <w:pStyle w:val="Paragrafoelenco"/>
        <w:spacing w:line="276" w:lineRule="auto"/>
        <w:ind w:left="360"/>
        <w:jc w:val="both"/>
        <w:rPr>
          <w:rFonts w:ascii="Arial" w:hAnsi="Arial" w:cs="Arial"/>
          <w:bCs/>
          <w:sz w:val="20"/>
          <w:szCs w:val="20"/>
        </w:rPr>
      </w:pPr>
    </w:p>
    <w:p w14:paraId="1C6E6C8A" w14:textId="77777777" w:rsidR="006C414B" w:rsidRPr="00744437" w:rsidRDefault="00A82C5B">
      <w:pPr>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 espressamente al trattamento dei propri Dati personali più sopra forniti.</w:t>
      </w:r>
    </w:p>
    <w:p w14:paraId="5B8B8821" w14:textId="77777777" w:rsidR="006C414B" w:rsidRDefault="006C414B">
      <w:pPr>
        <w:jc w:val="both"/>
        <w:rPr>
          <w:rFonts w:ascii="Arial" w:hAnsi="Arial" w:cs="Arial"/>
          <w:i/>
          <w:color w:val="0000FF"/>
          <w:sz w:val="20"/>
          <w:szCs w:val="20"/>
        </w:rPr>
      </w:pPr>
    </w:p>
    <w:p w14:paraId="1EDCAF7B" w14:textId="77777777" w:rsidR="00216305" w:rsidRDefault="00216305">
      <w:pPr>
        <w:jc w:val="both"/>
        <w:rPr>
          <w:rFonts w:ascii="Arial" w:hAnsi="Arial" w:cs="Arial"/>
          <w:i/>
          <w:color w:val="0000FF"/>
          <w:sz w:val="20"/>
          <w:szCs w:val="20"/>
        </w:rPr>
      </w:pPr>
    </w:p>
    <w:p w14:paraId="12F24510" w14:textId="77777777" w:rsidR="006C414B" w:rsidRPr="00744437"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77777777" w:rsidR="006C414B" w:rsidRPr="00744437" w:rsidRDefault="00A82C5B">
            <w:pPr>
              <w:jc w:val="center"/>
              <w:rPr>
                <w:rFonts w:ascii="Arial" w:hAnsi="Arial" w:cs="Arial"/>
                <w:bCs/>
                <w:color w:val="0077CF"/>
                <w:sz w:val="20"/>
                <w:szCs w:val="20"/>
                <w:highlight w:val="yellow"/>
              </w:rPr>
            </w:pPr>
            <w:r w:rsidRPr="00744437">
              <w:rPr>
                <w:rFonts w:ascii="Arial" w:hAnsi="Arial" w:cs="Arial"/>
                <w:bCs/>
                <w:color w:val="0077CF"/>
                <w:sz w:val="20"/>
                <w:szCs w:val="20"/>
              </w:rPr>
              <w:t>[Nome e Cognome]</w:t>
            </w: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default" r:id="rId14"/>
      <w:footerReference w:type="default" r:id="rId15"/>
      <w:headerReference w:type="first" r:id="rId16"/>
      <w:footerReference w:type="first" r:id="rId17"/>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D6FF" w14:textId="77777777" w:rsidR="0048639E" w:rsidRDefault="0048639E">
      <w:r>
        <w:separator/>
      </w:r>
    </w:p>
  </w:endnote>
  <w:endnote w:type="continuationSeparator" w:id="0">
    <w:p w14:paraId="2F1361EA" w14:textId="77777777" w:rsidR="0048639E" w:rsidRDefault="0048639E">
      <w:r>
        <w:continuationSeparator/>
      </w:r>
    </w:p>
  </w:endnote>
  <w:endnote w:type="continuationNotice" w:id="1">
    <w:p w14:paraId="3900A5B7" w14:textId="77777777" w:rsidR="0048639E" w:rsidRDefault="00486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auto"/>
    <w:pitch w:val="variable"/>
    <w:sig w:usb0="E1002EFF" w:usb1="C000605B" w:usb2="00000029" w:usb3="00000000" w:csb0="E1002EFF" w:csb1="C000605B"/>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6549E3E0"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 xml:space="preserve">Consip S.p.A. – Consultazione del mercato per </w:t>
    </w:r>
    <w:r w:rsidR="0058689F">
      <w:rPr>
        <w:rFonts w:ascii="Arial" w:hAnsi="Arial"/>
        <w:b/>
        <w:bCs/>
        <w:color w:val="0077CF"/>
        <w:kern w:val="2"/>
        <w:sz w:val="15"/>
      </w:rPr>
      <w:t>Nastroteche Robotizzate IBM per Sogei</w:t>
    </w:r>
    <w:r w:rsidR="0023438B">
      <w:rPr>
        <w:rFonts w:ascii="Arial" w:hAnsi="Arial"/>
        <w:b/>
        <w:bCs/>
        <w:color w:val="0077CF"/>
        <w:kern w:val="2"/>
        <w:sz w:val="15"/>
      </w:rPr>
      <w:t xml:space="preserve"> </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46C7" w14:textId="77777777" w:rsidR="0048639E" w:rsidRDefault="0048639E">
      <w:r>
        <w:separator/>
      </w:r>
    </w:p>
  </w:footnote>
  <w:footnote w:type="continuationSeparator" w:id="0">
    <w:p w14:paraId="7DC8E294" w14:textId="77777777" w:rsidR="0048639E" w:rsidRDefault="0048639E">
      <w:r>
        <w:continuationSeparator/>
      </w:r>
    </w:p>
  </w:footnote>
  <w:footnote w:type="continuationNotice" w:id="1">
    <w:p w14:paraId="5C386980" w14:textId="77777777" w:rsidR="0048639E" w:rsidRDefault="00486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68B3315"/>
    <w:multiLevelType w:val="hybridMultilevel"/>
    <w:tmpl w:val="BCBC08EA"/>
    <w:lvl w:ilvl="0" w:tplc="02526F6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7A44DFC"/>
    <w:multiLevelType w:val="hybridMultilevel"/>
    <w:tmpl w:val="421CB5F0"/>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4"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5" w15:restartNumberingAfterBreak="0">
    <w:nsid w:val="49895B6F"/>
    <w:multiLevelType w:val="hybridMultilevel"/>
    <w:tmpl w:val="E85A8A54"/>
    <w:lvl w:ilvl="0" w:tplc="38DC9F78">
      <w:start w:val="1"/>
      <w:numFmt w:val="lowerLetter"/>
      <w:lvlText w:val="%1)"/>
      <w:lvlJc w:val="left"/>
      <w:pPr>
        <w:ind w:left="2524" w:hanging="360"/>
      </w:pPr>
      <w:rPr>
        <w:rFonts w:ascii="Calibri" w:eastAsia="Calibri" w:hAnsi="Calibri" w:hint="default"/>
        <w:sz w:val="22"/>
        <w:szCs w:val="22"/>
      </w:rPr>
    </w:lvl>
    <w:lvl w:ilvl="1" w:tplc="60A0493C">
      <w:start w:val="1"/>
      <w:numFmt w:val="bullet"/>
      <w:lvlText w:val="•"/>
      <w:lvlJc w:val="left"/>
      <w:pPr>
        <w:ind w:left="3374" w:hanging="360"/>
      </w:pPr>
      <w:rPr>
        <w:rFonts w:hint="default"/>
      </w:rPr>
    </w:lvl>
    <w:lvl w:ilvl="2" w:tplc="022C9B64">
      <w:start w:val="1"/>
      <w:numFmt w:val="bullet"/>
      <w:lvlText w:val="•"/>
      <w:lvlJc w:val="left"/>
      <w:pPr>
        <w:ind w:left="4224" w:hanging="360"/>
      </w:pPr>
      <w:rPr>
        <w:rFonts w:hint="default"/>
      </w:rPr>
    </w:lvl>
    <w:lvl w:ilvl="3" w:tplc="D3644968">
      <w:start w:val="1"/>
      <w:numFmt w:val="bullet"/>
      <w:lvlText w:val="•"/>
      <w:lvlJc w:val="left"/>
      <w:pPr>
        <w:ind w:left="5074" w:hanging="360"/>
      </w:pPr>
      <w:rPr>
        <w:rFonts w:hint="default"/>
      </w:rPr>
    </w:lvl>
    <w:lvl w:ilvl="4" w:tplc="7512D1CE">
      <w:start w:val="1"/>
      <w:numFmt w:val="bullet"/>
      <w:lvlText w:val="•"/>
      <w:lvlJc w:val="left"/>
      <w:pPr>
        <w:ind w:left="5924" w:hanging="360"/>
      </w:pPr>
      <w:rPr>
        <w:rFonts w:hint="default"/>
      </w:rPr>
    </w:lvl>
    <w:lvl w:ilvl="5" w:tplc="684C90DC">
      <w:start w:val="1"/>
      <w:numFmt w:val="bullet"/>
      <w:lvlText w:val="•"/>
      <w:lvlJc w:val="left"/>
      <w:pPr>
        <w:ind w:left="6774" w:hanging="360"/>
      </w:pPr>
      <w:rPr>
        <w:rFonts w:hint="default"/>
      </w:rPr>
    </w:lvl>
    <w:lvl w:ilvl="6" w:tplc="D90C1F12">
      <w:start w:val="1"/>
      <w:numFmt w:val="bullet"/>
      <w:lvlText w:val="•"/>
      <w:lvlJc w:val="left"/>
      <w:pPr>
        <w:ind w:left="7624" w:hanging="360"/>
      </w:pPr>
      <w:rPr>
        <w:rFonts w:hint="default"/>
      </w:rPr>
    </w:lvl>
    <w:lvl w:ilvl="7" w:tplc="696E36F6">
      <w:start w:val="1"/>
      <w:numFmt w:val="bullet"/>
      <w:lvlText w:val="•"/>
      <w:lvlJc w:val="left"/>
      <w:pPr>
        <w:ind w:left="8474" w:hanging="360"/>
      </w:pPr>
      <w:rPr>
        <w:rFonts w:hint="default"/>
      </w:rPr>
    </w:lvl>
    <w:lvl w:ilvl="8" w:tplc="DC50A028">
      <w:start w:val="1"/>
      <w:numFmt w:val="bullet"/>
      <w:lvlText w:val="•"/>
      <w:lvlJc w:val="left"/>
      <w:pPr>
        <w:ind w:left="9324" w:hanging="360"/>
      </w:pPr>
      <w:rPr>
        <w:rFonts w:hint="default"/>
      </w:rPr>
    </w:lvl>
  </w:abstractNum>
  <w:abstractNum w:abstractNumId="6"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D8B19A2"/>
    <w:multiLevelType w:val="hybridMultilevel"/>
    <w:tmpl w:val="53E6FE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0E038A"/>
    <w:multiLevelType w:val="hybridMultilevel"/>
    <w:tmpl w:val="ED7AFB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76603C1"/>
    <w:multiLevelType w:val="hybridMultilevel"/>
    <w:tmpl w:val="9C90B618"/>
    <w:lvl w:ilvl="0" w:tplc="242ACE20">
      <w:start w:val="1"/>
      <w:numFmt w:val="decimal"/>
      <w:lvlText w:val="%1."/>
      <w:lvlJc w:val="left"/>
      <w:pPr>
        <w:ind w:left="2447" w:hanging="360"/>
        <w:jc w:val="right"/>
      </w:pPr>
      <w:rPr>
        <w:rFonts w:ascii="Calibri" w:eastAsia="Calibri" w:hAnsi="Calibri" w:hint="default"/>
        <w:b/>
        <w:bCs/>
        <w:spacing w:val="1"/>
        <w:sz w:val="22"/>
        <w:szCs w:val="22"/>
      </w:rPr>
    </w:lvl>
    <w:lvl w:ilvl="1" w:tplc="6018D25A">
      <w:start w:val="1"/>
      <w:numFmt w:val="decimal"/>
      <w:lvlText w:val="%2."/>
      <w:lvlJc w:val="left"/>
      <w:pPr>
        <w:ind w:left="2524" w:hanging="360"/>
      </w:pPr>
      <w:rPr>
        <w:rFonts w:ascii="Calibri" w:eastAsia="Calibri" w:hAnsi="Calibri" w:hint="default"/>
        <w:spacing w:val="1"/>
        <w:sz w:val="22"/>
        <w:szCs w:val="22"/>
      </w:rPr>
    </w:lvl>
    <w:lvl w:ilvl="2" w:tplc="581C8540">
      <w:start w:val="1"/>
      <w:numFmt w:val="bullet"/>
      <w:lvlText w:val="•"/>
      <w:lvlJc w:val="left"/>
      <w:pPr>
        <w:ind w:left="2524" w:hanging="360"/>
      </w:pPr>
      <w:rPr>
        <w:rFonts w:hint="default"/>
      </w:rPr>
    </w:lvl>
    <w:lvl w:ilvl="3" w:tplc="55CCE130">
      <w:start w:val="1"/>
      <w:numFmt w:val="bullet"/>
      <w:lvlText w:val="•"/>
      <w:lvlJc w:val="left"/>
      <w:pPr>
        <w:ind w:left="3587" w:hanging="360"/>
      </w:pPr>
      <w:rPr>
        <w:rFonts w:hint="default"/>
      </w:rPr>
    </w:lvl>
    <w:lvl w:ilvl="4" w:tplc="78249134">
      <w:start w:val="1"/>
      <w:numFmt w:val="bullet"/>
      <w:lvlText w:val="•"/>
      <w:lvlJc w:val="left"/>
      <w:pPr>
        <w:ind w:left="4649" w:hanging="360"/>
      </w:pPr>
      <w:rPr>
        <w:rFonts w:hint="default"/>
      </w:rPr>
    </w:lvl>
    <w:lvl w:ilvl="5" w:tplc="20D28240">
      <w:start w:val="1"/>
      <w:numFmt w:val="bullet"/>
      <w:lvlText w:val="•"/>
      <w:lvlJc w:val="left"/>
      <w:pPr>
        <w:ind w:left="5712" w:hanging="360"/>
      </w:pPr>
      <w:rPr>
        <w:rFonts w:hint="default"/>
      </w:rPr>
    </w:lvl>
    <w:lvl w:ilvl="6" w:tplc="722442D4">
      <w:start w:val="1"/>
      <w:numFmt w:val="bullet"/>
      <w:lvlText w:val="•"/>
      <w:lvlJc w:val="left"/>
      <w:pPr>
        <w:ind w:left="6774" w:hanging="360"/>
      </w:pPr>
      <w:rPr>
        <w:rFonts w:hint="default"/>
      </w:rPr>
    </w:lvl>
    <w:lvl w:ilvl="7" w:tplc="3F9CA86A">
      <w:start w:val="1"/>
      <w:numFmt w:val="bullet"/>
      <w:lvlText w:val="•"/>
      <w:lvlJc w:val="left"/>
      <w:pPr>
        <w:ind w:left="7836" w:hanging="360"/>
      </w:pPr>
      <w:rPr>
        <w:rFonts w:hint="default"/>
      </w:rPr>
    </w:lvl>
    <w:lvl w:ilvl="8" w:tplc="861ECD6C">
      <w:start w:val="1"/>
      <w:numFmt w:val="bullet"/>
      <w:lvlText w:val="•"/>
      <w:lvlJc w:val="left"/>
      <w:pPr>
        <w:ind w:left="8899" w:hanging="360"/>
      </w:pPr>
      <w:rPr>
        <w:rFonts w:hint="default"/>
      </w:rPr>
    </w:lvl>
  </w:abstractNum>
  <w:abstractNum w:abstractNumId="10" w15:restartNumberingAfterBreak="0">
    <w:nsid w:val="71E64D76"/>
    <w:multiLevelType w:val="hybridMultilevel"/>
    <w:tmpl w:val="CE8662FC"/>
    <w:lvl w:ilvl="0" w:tplc="C4187528">
      <w:start w:val="1"/>
      <w:numFmt w:val="decimal"/>
      <w:lvlText w:val="%1."/>
      <w:lvlJc w:val="left"/>
      <w:pPr>
        <w:ind w:left="644" w:hanging="360"/>
      </w:pPr>
      <w:rPr>
        <w:rFonts w:hint="default"/>
      </w:rPr>
    </w:lvl>
    <w:lvl w:ilvl="1" w:tplc="04100019">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16cid:durableId="1018501710">
    <w:abstractNumId w:val="0"/>
  </w:num>
  <w:num w:numId="2" w16cid:durableId="647515653">
    <w:abstractNumId w:val="6"/>
  </w:num>
  <w:num w:numId="3" w16cid:durableId="222761800">
    <w:abstractNumId w:val="4"/>
  </w:num>
  <w:num w:numId="4" w16cid:durableId="1188250918">
    <w:abstractNumId w:val="3"/>
  </w:num>
  <w:num w:numId="5" w16cid:durableId="667832779">
    <w:abstractNumId w:val="2"/>
  </w:num>
  <w:num w:numId="6" w16cid:durableId="1893618412">
    <w:abstractNumId w:val="8"/>
  </w:num>
  <w:num w:numId="7" w16cid:durableId="1607808214">
    <w:abstractNumId w:val="5"/>
  </w:num>
  <w:num w:numId="8" w16cid:durableId="305477374">
    <w:abstractNumId w:val="9"/>
  </w:num>
  <w:num w:numId="9" w16cid:durableId="2136412292">
    <w:abstractNumId w:val="7"/>
  </w:num>
  <w:num w:numId="10" w16cid:durableId="1269237959">
    <w:abstractNumId w:val="10"/>
  </w:num>
  <w:num w:numId="11" w16cid:durableId="13167516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4247F"/>
    <w:rsid w:val="00046B5D"/>
    <w:rsid w:val="000942CC"/>
    <w:rsid w:val="000A09D9"/>
    <w:rsid w:val="000F7D7B"/>
    <w:rsid w:val="00101B25"/>
    <w:rsid w:val="001A449E"/>
    <w:rsid w:val="001D210B"/>
    <w:rsid w:val="002076AA"/>
    <w:rsid w:val="00215627"/>
    <w:rsid w:val="00216305"/>
    <w:rsid w:val="0023438B"/>
    <w:rsid w:val="002A78FE"/>
    <w:rsid w:val="002D235A"/>
    <w:rsid w:val="00362264"/>
    <w:rsid w:val="00394B71"/>
    <w:rsid w:val="003E0522"/>
    <w:rsid w:val="004039F8"/>
    <w:rsid w:val="00431F36"/>
    <w:rsid w:val="00436713"/>
    <w:rsid w:val="0048639E"/>
    <w:rsid w:val="004A19B2"/>
    <w:rsid w:val="004A5686"/>
    <w:rsid w:val="004B632A"/>
    <w:rsid w:val="004E1C8B"/>
    <w:rsid w:val="004E275E"/>
    <w:rsid w:val="00555341"/>
    <w:rsid w:val="0058689F"/>
    <w:rsid w:val="005E04DD"/>
    <w:rsid w:val="005F543C"/>
    <w:rsid w:val="0064174F"/>
    <w:rsid w:val="0064290F"/>
    <w:rsid w:val="00643947"/>
    <w:rsid w:val="00644C4E"/>
    <w:rsid w:val="006C414B"/>
    <w:rsid w:val="00704850"/>
    <w:rsid w:val="00712E2C"/>
    <w:rsid w:val="00725E4A"/>
    <w:rsid w:val="00744437"/>
    <w:rsid w:val="00792DAC"/>
    <w:rsid w:val="00807CC3"/>
    <w:rsid w:val="00817F0F"/>
    <w:rsid w:val="00882253"/>
    <w:rsid w:val="00883A43"/>
    <w:rsid w:val="008B19A2"/>
    <w:rsid w:val="008B4C4A"/>
    <w:rsid w:val="008F6FE4"/>
    <w:rsid w:val="009040E6"/>
    <w:rsid w:val="00907008"/>
    <w:rsid w:val="00913773"/>
    <w:rsid w:val="00951CD2"/>
    <w:rsid w:val="00952E4B"/>
    <w:rsid w:val="00954BCF"/>
    <w:rsid w:val="0096785A"/>
    <w:rsid w:val="00982F5D"/>
    <w:rsid w:val="009F544B"/>
    <w:rsid w:val="00A02F6F"/>
    <w:rsid w:val="00A42F73"/>
    <w:rsid w:val="00A543B5"/>
    <w:rsid w:val="00A82C5B"/>
    <w:rsid w:val="00A92784"/>
    <w:rsid w:val="00AA7587"/>
    <w:rsid w:val="00AB5CB2"/>
    <w:rsid w:val="00AB72DC"/>
    <w:rsid w:val="00AC6F27"/>
    <w:rsid w:val="00AE6302"/>
    <w:rsid w:val="00AF7473"/>
    <w:rsid w:val="00BA3061"/>
    <w:rsid w:val="00BA5798"/>
    <w:rsid w:val="00BB12FA"/>
    <w:rsid w:val="00BC2499"/>
    <w:rsid w:val="00C06A64"/>
    <w:rsid w:val="00C17DCE"/>
    <w:rsid w:val="00C90E67"/>
    <w:rsid w:val="00CA628D"/>
    <w:rsid w:val="00D06536"/>
    <w:rsid w:val="00DF3622"/>
    <w:rsid w:val="00DF3B22"/>
    <w:rsid w:val="00E34885"/>
    <w:rsid w:val="00E57C36"/>
    <w:rsid w:val="00ED0288"/>
    <w:rsid w:val="00ED74A3"/>
    <w:rsid w:val="00EE6717"/>
    <w:rsid w:val="00F034EC"/>
    <w:rsid w:val="00F20997"/>
    <w:rsid w:val="00F31C31"/>
    <w:rsid w:val="00F35E8B"/>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D88BFDD7-403A-4229-9DC1-2755F919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aliases w:val="MEF Titolo 1,MEF - Titolo 1 livello,Paragrafo elenco 2,Bullet List,FooterText,numbered,Paragraphe de liste1,Bulletr List Paragraph,列出段落,列出段落1,List Paragraph21,Listeafsnit1,Parágrafo da Lista1,Párrafo de lista1,リスト段落1,List Paragraph11,lp"/>
    <w:basedOn w:val="Normale"/>
    <w:link w:val="ParagrafoelencoCaratter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pPr>
      <w:keepNext/>
      <w:spacing w:line="300" w:lineRule="atLeast"/>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5F543C"/>
    <w:rPr>
      <w:color w:val="605E5C"/>
      <w:shd w:val="clear" w:color="auto" w:fill="E1DFDD"/>
    </w:rPr>
  </w:style>
  <w:style w:type="character" w:customStyle="1" w:styleId="ParagrafoelencoCarattere">
    <w:name w:val="Paragrafo elenco Carattere"/>
    <w:aliases w:val="MEF Titolo 1 Carattere,MEF - Titolo 1 livello Carattere,Paragrafo elenco 2 Carattere,Bullet List Carattere,FooterText Carattere,numbered Carattere,Paragraphe de liste1 Carattere,Bulletr List Paragraph Carattere,列出段落 Carattere"/>
    <w:basedOn w:val="Carpredefinitoparagrafo"/>
    <w:link w:val="Paragrafoelenco"/>
    <w:uiPriority w:val="34"/>
    <w:qFormat/>
    <w:rsid w:val="002076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ercizio.diritti.privacy@consip.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_______@xxxxxpec.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ctconsip@postacert.consip.i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Props1.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customXml/itemProps3.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4.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9</Pages>
  <Words>1934</Words>
  <Characters>14605</Characters>
  <Application>Microsoft Office Word</Application>
  <DocSecurity>0</DocSecurity>
  <Lines>346</Lines>
  <Paragraphs>144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Consip S.p.A.</Company>
  <LinksUpToDate>false</LinksUpToDate>
  <CharactersWithSpaces>16435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
  <cp:lastModifiedBy>Novara Stefano</cp:lastModifiedBy>
  <cp:revision>39</cp:revision>
  <dcterms:created xsi:type="dcterms:W3CDTF">2023-08-04T15:56:00Z</dcterms:created>
  <dcterms:modified xsi:type="dcterms:W3CDTF">2026-04-08T10:14:00Z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