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CA0D" w14:textId="77777777" w:rsidR="0016062C" w:rsidRPr="00A80D20" w:rsidRDefault="0016062C" w:rsidP="0016062C">
      <w:pPr>
        <w:spacing w:line="276" w:lineRule="auto"/>
        <w:ind w:left="284"/>
        <w:jc w:val="both"/>
        <w:rPr>
          <w:rFonts w:ascii="Arial" w:hAnsi="Arial" w:cs="Arial"/>
          <w:b/>
          <w:sz w:val="36"/>
        </w:rPr>
      </w:pPr>
    </w:p>
    <w:p w14:paraId="546A4C02" w14:textId="77777777" w:rsidR="0016062C" w:rsidRPr="00A80D20" w:rsidRDefault="0016062C" w:rsidP="0016062C">
      <w:pPr>
        <w:spacing w:line="276" w:lineRule="auto"/>
        <w:ind w:left="284"/>
        <w:jc w:val="both"/>
        <w:rPr>
          <w:rFonts w:ascii="Arial" w:hAnsi="Arial" w:cs="Arial"/>
          <w:b/>
          <w:sz w:val="36"/>
        </w:rPr>
      </w:pPr>
      <w:r w:rsidRPr="00A80D20">
        <w:rPr>
          <w:rFonts w:ascii="Arial" w:hAnsi="Arial" w:cs="Arial"/>
          <w:b/>
          <w:sz w:val="36"/>
        </w:rPr>
        <w:t>GARA PER LA FORNITURA DI ENERGIA ELETTRICA E DEI SERVIZI CONNESSI PER LE PUBBLICHE AMMINISTRAZIONI</w:t>
      </w:r>
    </w:p>
    <w:p w14:paraId="0CF2C92A" w14:textId="77777777" w:rsidR="0016062C" w:rsidRPr="00A80D20" w:rsidRDefault="0016062C" w:rsidP="0016062C">
      <w:pPr>
        <w:spacing w:line="276" w:lineRule="auto"/>
        <w:ind w:left="284"/>
        <w:jc w:val="both"/>
        <w:rPr>
          <w:rFonts w:ascii="Arial" w:hAnsi="Arial" w:cs="Arial"/>
          <w:b/>
          <w:sz w:val="36"/>
        </w:rPr>
      </w:pPr>
    </w:p>
    <w:p w14:paraId="5D72377D" w14:textId="7C5CAC08" w:rsidR="006C414B" w:rsidRPr="00A80D20" w:rsidRDefault="0016062C">
      <w:pPr>
        <w:spacing w:line="276" w:lineRule="auto"/>
        <w:ind w:left="284"/>
        <w:jc w:val="both"/>
        <w:rPr>
          <w:rFonts w:ascii="Arial" w:hAnsi="Arial" w:cs="Arial"/>
          <w:b/>
          <w:bCs/>
          <w:sz w:val="20"/>
          <w:szCs w:val="20"/>
        </w:rPr>
      </w:pPr>
      <w:r w:rsidRPr="00A80D20">
        <w:rPr>
          <w:rFonts w:ascii="Arial" w:hAnsi="Arial" w:cs="Arial"/>
          <w:b/>
          <w:sz w:val="36"/>
        </w:rPr>
        <w:t>ID 2994</w:t>
      </w:r>
    </w:p>
    <w:p w14:paraId="01C79CD7" w14:textId="77777777" w:rsidR="006C414B" w:rsidRPr="00A80D20" w:rsidRDefault="006C414B">
      <w:pPr>
        <w:spacing w:line="276" w:lineRule="auto"/>
        <w:ind w:left="284"/>
        <w:jc w:val="both"/>
        <w:rPr>
          <w:rFonts w:ascii="Arial" w:hAnsi="Arial" w:cs="Arial"/>
          <w:b/>
          <w:bCs/>
          <w:sz w:val="20"/>
          <w:szCs w:val="20"/>
        </w:rPr>
      </w:pPr>
    </w:p>
    <w:p w14:paraId="61D8A331" w14:textId="77777777" w:rsidR="006C414B" w:rsidRPr="00C76B66" w:rsidRDefault="006C414B">
      <w:pPr>
        <w:spacing w:line="276" w:lineRule="auto"/>
        <w:ind w:left="284"/>
        <w:jc w:val="both"/>
        <w:rPr>
          <w:rFonts w:ascii="Arial" w:hAnsi="Arial" w:cs="Arial"/>
          <w:b/>
          <w:bCs/>
          <w:sz w:val="20"/>
          <w:szCs w:val="20"/>
        </w:rPr>
      </w:pPr>
    </w:p>
    <w:p w14:paraId="4EF98CC2" w14:textId="77777777" w:rsidR="006C414B" w:rsidRPr="00C76B66" w:rsidRDefault="006C414B">
      <w:pPr>
        <w:spacing w:line="276" w:lineRule="auto"/>
        <w:ind w:left="284"/>
        <w:jc w:val="both"/>
        <w:rPr>
          <w:rFonts w:ascii="Arial" w:hAnsi="Arial" w:cs="Arial"/>
          <w:b/>
          <w:bCs/>
          <w:sz w:val="20"/>
          <w:szCs w:val="20"/>
        </w:rPr>
      </w:pPr>
    </w:p>
    <w:p w14:paraId="5699C5EB" w14:textId="77777777" w:rsidR="006C414B" w:rsidRPr="00C76B66" w:rsidRDefault="006C414B">
      <w:pPr>
        <w:spacing w:line="276" w:lineRule="auto"/>
        <w:ind w:left="284"/>
        <w:jc w:val="both"/>
        <w:rPr>
          <w:rFonts w:ascii="Arial" w:hAnsi="Arial" w:cs="Arial"/>
          <w:b/>
          <w:bCs/>
          <w:sz w:val="20"/>
          <w:szCs w:val="20"/>
        </w:rPr>
      </w:pPr>
    </w:p>
    <w:p w14:paraId="644AA13C" w14:textId="77777777" w:rsidR="006C414B" w:rsidRPr="00C76B66" w:rsidRDefault="006C414B">
      <w:pPr>
        <w:spacing w:line="276" w:lineRule="auto"/>
        <w:ind w:left="284"/>
        <w:jc w:val="both"/>
        <w:rPr>
          <w:rFonts w:ascii="Arial" w:hAnsi="Arial" w:cs="Arial"/>
          <w:b/>
          <w:bCs/>
          <w:sz w:val="20"/>
          <w:szCs w:val="20"/>
        </w:rPr>
      </w:pPr>
    </w:p>
    <w:p w14:paraId="1E1864F9" w14:textId="77777777" w:rsidR="006C414B" w:rsidRPr="00C76B66" w:rsidRDefault="006C414B">
      <w:pPr>
        <w:spacing w:line="276" w:lineRule="auto"/>
        <w:ind w:left="284"/>
        <w:jc w:val="both"/>
        <w:rPr>
          <w:rFonts w:ascii="Arial" w:hAnsi="Arial" w:cs="Arial"/>
          <w:b/>
          <w:bCs/>
          <w:sz w:val="20"/>
          <w:szCs w:val="20"/>
        </w:rPr>
      </w:pPr>
    </w:p>
    <w:p w14:paraId="28E666B2" w14:textId="77777777" w:rsidR="006C414B" w:rsidRPr="00C76B66" w:rsidRDefault="006C414B">
      <w:pPr>
        <w:spacing w:line="276" w:lineRule="auto"/>
        <w:ind w:left="284"/>
        <w:jc w:val="both"/>
        <w:rPr>
          <w:rFonts w:ascii="Arial" w:hAnsi="Arial" w:cs="Arial"/>
          <w:b/>
          <w:bCs/>
          <w:sz w:val="20"/>
          <w:szCs w:val="20"/>
        </w:rPr>
      </w:pPr>
    </w:p>
    <w:p w14:paraId="29FE8405" w14:textId="77777777" w:rsidR="006C414B" w:rsidRPr="00A80D20" w:rsidRDefault="00A82C5B">
      <w:pPr>
        <w:pStyle w:val="Titoli14bold"/>
        <w:ind w:left="284"/>
        <w:rPr>
          <w:rFonts w:ascii="Arial" w:hAnsi="Arial" w:cs="Arial"/>
          <w:color w:val="0077CF"/>
        </w:rPr>
      </w:pPr>
      <w:r w:rsidRPr="00A80D20">
        <w:rPr>
          <w:rFonts w:ascii="Arial" w:hAnsi="Arial" w:cs="Arial"/>
          <w:color w:val="0077CF"/>
        </w:rPr>
        <w:t>DOCUMENTO DI CONSULTAZIONE DEL MERCATO</w:t>
      </w:r>
    </w:p>
    <w:p w14:paraId="241B86FD" w14:textId="6320495C" w:rsidR="006C414B" w:rsidRPr="00A80D20" w:rsidRDefault="00A82C5B">
      <w:pPr>
        <w:pStyle w:val="Titoli14bold"/>
        <w:ind w:left="284"/>
        <w:rPr>
          <w:rFonts w:ascii="Arial" w:hAnsi="Arial" w:cs="Arial"/>
          <w:color w:val="0077CF"/>
        </w:rPr>
      </w:pPr>
      <w:r w:rsidRPr="00A80D20">
        <w:rPr>
          <w:rFonts w:ascii="Arial" w:hAnsi="Arial" w:cs="Arial"/>
          <w:color w:val="0077CF"/>
        </w:rPr>
        <w:t xml:space="preserve">QUESTIONARIO </w:t>
      </w:r>
      <w:r w:rsidR="0016062C" w:rsidRPr="00A80D20">
        <w:rPr>
          <w:rFonts w:ascii="Arial" w:hAnsi="Arial" w:cs="Arial"/>
          <w:color w:val="0077CF"/>
        </w:rPr>
        <w:t xml:space="preserve">TECNICO - </w:t>
      </w:r>
      <w:r w:rsidRPr="00A80D20">
        <w:rPr>
          <w:rFonts w:ascii="Arial" w:hAnsi="Arial" w:cs="Arial"/>
          <w:color w:val="0077CF"/>
        </w:rPr>
        <w:t>GENERALE</w:t>
      </w:r>
    </w:p>
    <w:p w14:paraId="4F166336" w14:textId="77777777" w:rsidR="006C414B" w:rsidRPr="00C76B66" w:rsidRDefault="006C414B">
      <w:pPr>
        <w:spacing w:line="276" w:lineRule="auto"/>
        <w:ind w:left="284"/>
        <w:jc w:val="both"/>
        <w:rPr>
          <w:rFonts w:asciiTheme="minorHAnsi" w:hAnsiTheme="minorHAnsi" w:cs="Arial"/>
          <w:b/>
          <w:bCs/>
          <w:sz w:val="20"/>
          <w:szCs w:val="20"/>
        </w:rPr>
      </w:pPr>
    </w:p>
    <w:p w14:paraId="28E8FD83" w14:textId="77777777" w:rsidR="006C414B" w:rsidRPr="00C76B66" w:rsidRDefault="006C414B">
      <w:pPr>
        <w:spacing w:line="276" w:lineRule="auto"/>
        <w:ind w:left="284"/>
        <w:jc w:val="both"/>
        <w:rPr>
          <w:rFonts w:asciiTheme="minorHAnsi" w:hAnsiTheme="minorHAnsi" w:cs="Arial"/>
          <w:b/>
          <w:bCs/>
          <w:sz w:val="20"/>
          <w:szCs w:val="20"/>
        </w:rPr>
      </w:pPr>
    </w:p>
    <w:p w14:paraId="74768607" w14:textId="77777777" w:rsidR="006C414B" w:rsidRPr="00C76B66" w:rsidRDefault="006C414B">
      <w:pPr>
        <w:spacing w:line="276" w:lineRule="auto"/>
        <w:ind w:left="284"/>
        <w:jc w:val="both"/>
        <w:rPr>
          <w:rFonts w:asciiTheme="minorHAnsi" w:hAnsiTheme="minorHAnsi" w:cs="Arial"/>
          <w:b/>
          <w:bCs/>
          <w:sz w:val="20"/>
          <w:szCs w:val="20"/>
        </w:rPr>
      </w:pPr>
    </w:p>
    <w:p w14:paraId="0200B714" w14:textId="77777777" w:rsidR="006C414B" w:rsidRPr="00C76B66" w:rsidRDefault="006C414B">
      <w:pPr>
        <w:spacing w:line="276" w:lineRule="auto"/>
        <w:ind w:left="284"/>
        <w:jc w:val="both"/>
        <w:rPr>
          <w:rFonts w:asciiTheme="minorHAnsi" w:hAnsiTheme="minorHAnsi" w:cs="Arial"/>
          <w:b/>
          <w:bCs/>
          <w:sz w:val="20"/>
          <w:szCs w:val="20"/>
        </w:rPr>
      </w:pPr>
    </w:p>
    <w:p w14:paraId="707C298B" w14:textId="77777777" w:rsidR="006C414B" w:rsidRPr="00C76B66" w:rsidRDefault="006C414B">
      <w:pPr>
        <w:spacing w:line="276" w:lineRule="auto"/>
        <w:ind w:left="284"/>
        <w:jc w:val="both"/>
        <w:rPr>
          <w:rFonts w:asciiTheme="minorHAnsi" w:hAnsiTheme="minorHAnsi" w:cs="Arial"/>
          <w:b/>
          <w:bCs/>
          <w:sz w:val="20"/>
          <w:szCs w:val="20"/>
        </w:rPr>
      </w:pPr>
    </w:p>
    <w:p w14:paraId="6652AAF0" w14:textId="77777777" w:rsidR="006C414B" w:rsidRPr="00C76B66" w:rsidRDefault="006C414B">
      <w:pPr>
        <w:spacing w:line="276" w:lineRule="auto"/>
        <w:ind w:left="284"/>
        <w:jc w:val="both"/>
        <w:rPr>
          <w:rFonts w:asciiTheme="minorHAnsi" w:hAnsiTheme="minorHAnsi" w:cs="Arial"/>
          <w:b/>
          <w:bCs/>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01309E53" w14:textId="77777777" w:rsidR="00AD73F1" w:rsidRPr="00D62C0A" w:rsidRDefault="00AD73F1" w:rsidP="00AD73F1">
      <w:pPr>
        <w:spacing w:line="276" w:lineRule="auto"/>
        <w:jc w:val="both"/>
        <w:rPr>
          <w:rFonts w:ascii="Arial" w:hAnsi="Arial" w:cs="Arial"/>
          <w:bCs/>
          <w:sz w:val="20"/>
          <w:szCs w:val="20"/>
        </w:rPr>
      </w:pPr>
    </w:p>
    <w:p w14:paraId="41367EB0" w14:textId="77777777" w:rsidR="00AD73F1" w:rsidRPr="001B28FF" w:rsidRDefault="00AD73F1" w:rsidP="00AD73F1">
      <w:pPr>
        <w:spacing w:line="276" w:lineRule="auto"/>
        <w:ind w:left="284"/>
        <w:jc w:val="both"/>
        <w:rPr>
          <w:rFonts w:ascii="Arial" w:hAnsi="Arial" w:cs="Arial"/>
          <w:bCs/>
          <w:sz w:val="20"/>
          <w:szCs w:val="20"/>
        </w:rPr>
      </w:pPr>
      <w:hyperlink r:id="rId8" w:history="1">
        <w:r w:rsidRPr="001B28FF">
          <w:rPr>
            <w:rStyle w:val="Collegamentoipertestuale"/>
            <w:rFonts w:ascii="Arial" w:hAnsi="Arial" w:cs="Arial"/>
            <w:b/>
            <w:i/>
            <w:sz w:val="20"/>
            <w:szCs w:val="20"/>
          </w:rPr>
          <w:t>seusconsip@postacert.consip.it</w:t>
        </w:r>
      </w:hyperlink>
    </w:p>
    <w:p w14:paraId="287FB1AC" w14:textId="77777777" w:rsidR="006C414B" w:rsidRPr="001B28FF" w:rsidRDefault="006C414B">
      <w:pPr>
        <w:spacing w:line="276" w:lineRule="auto"/>
        <w:ind w:left="284"/>
        <w:jc w:val="both"/>
        <w:rPr>
          <w:rFonts w:asciiTheme="minorHAnsi" w:hAnsiTheme="minorHAnsi" w:cs="Arial"/>
          <w:b/>
          <w:bCs/>
          <w:color w:val="0077CF"/>
          <w:sz w:val="20"/>
          <w:szCs w:val="20"/>
        </w:rPr>
      </w:pPr>
    </w:p>
    <w:p w14:paraId="3068B289" w14:textId="77777777" w:rsidR="006C414B" w:rsidRPr="001B28FF" w:rsidRDefault="006C414B">
      <w:pPr>
        <w:spacing w:line="276" w:lineRule="auto"/>
        <w:ind w:left="284"/>
        <w:jc w:val="both"/>
        <w:rPr>
          <w:rFonts w:asciiTheme="minorHAnsi" w:hAnsiTheme="minorHAnsi" w:cs="Arial"/>
          <w:b/>
          <w:bCs/>
          <w:sz w:val="20"/>
          <w:szCs w:val="20"/>
        </w:rPr>
      </w:pPr>
    </w:p>
    <w:p w14:paraId="30884361" w14:textId="77777777" w:rsidR="00AD73F1" w:rsidRPr="001B28FF" w:rsidRDefault="00AD73F1">
      <w:pPr>
        <w:spacing w:line="276" w:lineRule="auto"/>
        <w:ind w:left="284"/>
        <w:jc w:val="both"/>
        <w:rPr>
          <w:rFonts w:asciiTheme="minorHAnsi" w:hAnsiTheme="minorHAnsi" w:cs="Arial"/>
          <w:b/>
          <w:bCs/>
          <w:sz w:val="20"/>
          <w:szCs w:val="20"/>
        </w:rPr>
      </w:pPr>
    </w:p>
    <w:p w14:paraId="3B960684" w14:textId="77777777" w:rsidR="006C414B" w:rsidRPr="001B28FF" w:rsidRDefault="006C414B">
      <w:pPr>
        <w:spacing w:line="276" w:lineRule="auto"/>
        <w:ind w:left="284"/>
        <w:jc w:val="both"/>
        <w:rPr>
          <w:rFonts w:asciiTheme="minorHAnsi" w:hAnsiTheme="minorHAnsi" w:cs="Arial"/>
          <w:b/>
          <w:bCs/>
          <w:sz w:val="20"/>
          <w:szCs w:val="20"/>
        </w:rPr>
      </w:pPr>
    </w:p>
    <w:p w14:paraId="0584BA24" w14:textId="77777777" w:rsidR="006C414B" w:rsidRPr="001B28FF" w:rsidRDefault="006C414B">
      <w:pPr>
        <w:spacing w:line="276" w:lineRule="auto"/>
        <w:ind w:left="284"/>
        <w:jc w:val="both"/>
        <w:rPr>
          <w:rFonts w:asciiTheme="minorHAnsi" w:hAnsiTheme="minorHAnsi" w:cs="Arial"/>
          <w:b/>
          <w:bCs/>
          <w:sz w:val="20"/>
          <w:szCs w:val="20"/>
        </w:rPr>
      </w:pPr>
    </w:p>
    <w:p w14:paraId="4FE5B5CB" w14:textId="211CE118" w:rsidR="006C414B" w:rsidRPr="001B28FF" w:rsidRDefault="00A82C5B">
      <w:pPr>
        <w:spacing w:line="276" w:lineRule="auto"/>
        <w:ind w:left="284"/>
        <w:jc w:val="both"/>
        <w:rPr>
          <w:rFonts w:ascii="Arial" w:hAnsi="Arial" w:cs="Arial"/>
          <w:bCs/>
          <w:color w:val="000000" w:themeColor="text1"/>
          <w:sz w:val="20"/>
          <w:szCs w:val="20"/>
        </w:rPr>
      </w:pPr>
      <w:r w:rsidRPr="001B28FF">
        <w:rPr>
          <w:rFonts w:ascii="Arial" w:hAnsi="Arial" w:cs="Arial"/>
          <w:bCs/>
          <w:color w:val="000000" w:themeColor="text1"/>
          <w:sz w:val="20"/>
          <w:szCs w:val="20"/>
        </w:rPr>
        <w:t xml:space="preserve">Roma, </w:t>
      </w:r>
      <w:r w:rsidR="001B28FF" w:rsidRPr="001B28FF">
        <w:rPr>
          <w:rFonts w:ascii="Arial" w:hAnsi="Arial" w:cs="Arial"/>
          <w:bCs/>
          <w:color w:val="000000" w:themeColor="text1"/>
          <w:sz w:val="20"/>
          <w:szCs w:val="20"/>
        </w:rPr>
        <w:t>31</w:t>
      </w:r>
      <w:r w:rsidRPr="001B28FF">
        <w:rPr>
          <w:rFonts w:ascii="Arial" w:hAnsi="Arial" w:cs="Arial"/>
          <w:bCs/>
          <w:color w:val="000000" w:themeColor="text1"/>
          <w:sz w:val="20"/>
          <w:szCs w:val="20"/>
        </w:rPr>
        <w:t>/</w:t>
      </w:r>
      <w:r w:rsidR="00AD73F1" w:rsidRPr="001B28FF">
        <w:rPr>
          <w:rFonts w:ascii="Arial" w:hAnsi="Arial" w:cs="Arial"/>
          <w:bCs/>
          <w:color w:val="000000" w:themeColor="text1"/>
          <w:sz w:val="20"/>
          <w:szCs w:val="20"/>
        </w:rPr>
        <w:t>03</w:t>
      </w:r>
      <w:r w:rsidRPr="001B28FF">
        <w:rPr>
          <w:rFonts w:ascii="Arial" w:hAnsi="Arial" w:cs="Arial"/>
          <w:bCs/>
          <w:color w:val="000000" w:themeColor="text1"/>
          <w:sz w:val="20"/>
          <w:szCs w:val="20"/>
        </w:rPr>
        <w:t>/</w:t>
      </w:r>
      <w:r w:rsidR="00AD73F1" w:rsidRPr="001B28FF">
        <w:rPr>
          <w:rFonts w:ascii="Arial" w:hAnsi="Arial" w:cs="Arial"/>
          <w:bCs/>
          <w:color w:val="000000" w:themeColor="text1"/>
          <w:sz w:val="20"/>
          <w:szCs w:val="20"/>
        </w:rPr>
        <w:t>2026</w:t>
      </w:r>
    </w:p>
    <w:p w14:paraId="3A7C07DC" w14:textId="77777777" w:rsidR="006C414B" w:rsidRPr="001B28FF" w:rsidRDefault="00A82C5B">
      <w:pPr>
        <w:ind w:left="284"/>
        <w:rPr>
          <w:rFonts w:asciiTheme="minorHAnsi" w:hAnsiTheme="minorHAnsi" w:cs="Arial"/>
          <w:bCs/>
          <w:sz w:val="20"/>
          <w:szCs w:val="20"/>
        </w:rPr>
      </w:pPr>
      <w:r w:rsidRPr="001B28FF">
        <w:rPr>
          <w:rFonts w:asciiTheme="minorHAnsi" w:hAnsiTheme="minorHAnsi" w:cs="Arial"/>
          <w:bCs/>
          <w:sz w:val="20"/>
          <w:szCs w:val="20"/>
        </w:rPr>
        <w:br w:type="page"/>
      </w:r>
    </w:p>
    <w:p w14:paraId="6C209BC2" w14:textId="205E6CE3" w:rsidR="00744437" w:rsidRPr="00AD73F1" w:rsidRDefault="00A82C5B" w:rsidP="00216305">
      <w:pPr>
        <w:spacing w:line="300" w:lineRule="atLeast"/>
        <w:ind w:left="284"/>
        <w:jc w:val="both"/>
        <w:rPr>
          <w:rFonts w:ascii="Arial" w:hAnsi="Arial" w:cs="Arial"/>
          <w:bCs/>
          <w:sz w:val="20"/>
          <w:szCs w:val="20"/>
        </w:rPr>
      </w:pPr>
      <w:r w:rsidRPr="00A80D20">
        <w:rPr>
          <w:rFonts w:ascii="Arial" w:hAnsi="Arial" w:cs="Arial"/>
          <w:b/>
          <w:bCs/>
          <w:sz w:val="22"/>
          <w:szCs w:val="22"/>
        </w:rPr>
        <w:lastRenderedPageBreak/>
        <w:t>Premessa</w:t>
      </w:r>
    </w:p>
    <w:p w14:paraId="0D71DFFB" w14:textId="77777777" w:rsidR="006C414B" w:rsidRPr="00AD73F1" w:rsidRDefault="00A82C5B" w:rsidP="00216305">
      <w:pPr>
        <w:spacing w:line="300" w:lineRule="atLeast"/>
        <w:ind w:left="284"/>
        <w:jc w:val="both"/>
        <w:rPr>
          <w:rFonts w:ascii="Arial" w:hAnsi="Arial" w:cs="Arial"/>
          <w:bCs/>
          <w:sz w:val="20"/>
          <w:szCs w:val="20"/>
        </w:rPr>
      </w:pPr>
      <w:r w:rsidRPr="00AD73F1">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AD73F1">
        <w:rPr>
          <w:rFonts w:ascii="Arial" w:hAnsi="Arial" w:cs="Arial"/>
          <w:bCs/>
          <w:sz w:val="20"/>
          <w:szCs w:val="20"/>
        </w:rPr>
        <w:t>s.m.i.</w:t>
      </w:r>
      <w:proofErr w:type="spellEnd"/>
      <w:r w:rsidRPr="00AD73F1">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AD73F1" w:rsidRDefault="006C414B" w:rsidP="00216305">
      <w:pPr>
        <w:pStyle w:val="BodyText21"/>
        <w:spacing w:line="300" w:lineRule="atLeast"/>
        <w:ind w:left="284"/>
        <w:rPr>
          <w:rFonts w:ascii="Arial" w:hAnsi="Arial" w:cs="Arial"/>
          <w:bCs/>
          <w:sz w:val="20"/>
          <w:szCs w:val="20"/>
        </w:rPr>
      </w:pPr>
    </w:p>
    <w:p w14:paraId="17CDDCCD" w14:textId="2DF700FE" w:rsidR="006C414B" w:rsidRPr="00AD73F1" w:rsidRDefault="00A82C5B" w:rsidP="00216305">
      <w:pPr>
        <w:pStyle w:val="BodyText21"/>
        <w:spacing w:line="300" w:lineRule="atLeast"/>
        <w:ind w:left="284"/>
        <w:rPr>
          <w:rFonts w:ascii="Arial" w:hAnsi="Arial" w:cs="Arial"/>
          <w:sz w:val="20"/>
          <w:szCs w:val="20"/>
        </w:rPr>
      </w:pPr>
      <w:r w:rsidRPr="00AD73F1">
        <w:rPr>
          <w:rFonts w:ascii="Arial" w:hAnsi="Arial" w:cs="Arial"/>
          <w:sz w:val="20"/>
          <w:szCs w:val="20"/>
        </w:rPr>
        <w:t>Il presente documento di consultazione del mercato</w:t>
      </w:r>
      <w:r w:rsidR="00046B5D" w:rsidRPr="00AD73F1">
        <w:rPr>
          <w:rFonts w:ascii="Arial" w:hAnsi="Arial" w:cs="Arial"/>
          <w:sz w:val="20"/>
          <w:szCs w:val="20"/>
        </w:rPr>
        <w:t xml:space="preserve"> </w:t>
      </w:r>
      <w:r w:rsidRPr="00AD73F1">
        <w:rPr>
          <w:rFonts w:ascii="Arial" w:hAnsi="Arial" w:cs="Arial"/>
          <w:sz w:val="20"/>
          <w:szCs w:val="20"/>
        </w:rPr>
        <w:t>ha l’obiettivo di:</w:t>
      </w:r>
    </w:p>
    <w:p w14:paraId="4F9C59E5" w14:textId="56058CCA" w:rsidR="006C414B" w:rsidRPr="00AD73F1"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D73F1">
        <w:rPr>
          <w:rFonts w:ascii="Arial" w:hAnsi="Arial" w:cs="Arial"/>
          <w:sz w:val="20"/>
          <w:szCs w:val="20"/>
        </w:rPr>
        <w:t>garantire la massima pubblicità alle iniziative per assicurare la più ampia diffusione delle informazioni ed un celere svolgimento delle procedure di acquisto;</w:t>
      </w:r>
    </w:p>
    <w:p w14:paraId="3C319396" w14:textId="77777777" w:rsidR="006C414B" w:rsidRPr="00AD73F1"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D73F1">
        <w:rPr>
          <w:rFonts w:ascii="Arial" w:hAnsi="Arial" w:cs="Arial"/>
          <w:sz w:val="20"/>
          <w:szCs w:val="20"/>
        </w:rPr>
        <w:t>ottenere la più proficua partecipazione da parte dei soggetti interessati;</w:t>
      </w:r>
    </w:p>
    <w:p w14:paraId="54F7C2D3" w14:textId="77777777" w:rsidR="006C414B" w:rsidRPr="00AD73F1"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D73F1">
        <w:rPr>
          <w:rFonts w:ascii="Arial" w:hAnsi="Arial" w:cs="Arial"/>
          <w:sz w:val="20"/>
          <w:szCs w:val="20"/>
        </w:rPr>
        <w:t>pubblicizzare al meglio le caratteristiche qualitative e tecniche dei beni e servizi oggetto di analisi;</w:t>
      </w:r>
    </w:p>
    <w:p w14:paraId="3FF9F09E" w14:textId="77777777" w:rsidR="006C414B" w:rsidRPr="00AD73F1"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D73F1">
        <w:rPr>
          <w:rFonts w:ascii="Arial" w:hAnsi="Arial" w:cs="Arial"/>
          <w:sz w:val="20"/>
          <w:szCs w:val="20"/>
        </w:rPr>
        <w:t>ricevere, da parte dei soggetti interessati, osservazioni e suggerimenti per una più compiuta conoscenza del mercato;</w:t>
      </w:r>
    </w:p>
    <w:p w14:paraId="7290C0AD" w14:textId="5D7B8537" w:rsidR="006C414B" w:rsidRPr="00AD73F1"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D73F1">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sidR="00AD73F1">
        <w:rPr>
          <w:rFonts w:ascii="Arial" w:hAnsi="Arial" w:cs="Arial"/>
          <w:sz w:val="20"/>
          <w:szCs w:val="20"/>
        </w:rPr>
        <w:t>.</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3999AE61"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all’iniziativa </w:t>
      </w:r>
      <w:r w:rsidR="00536900" w:rsidRPr="00D62C0A">
        <w:rPr>
          <w:rFonts w:ascii="Arial" w:hAnsi="Arial" w:cs="Arial"/>
          <w:bCs/>
          <w:sz w:val="20"/>
          <w:szCs w:val="20"/>
        </w:rPr>
        <w:t>“</w:t>
      </w:r>
      <w:r w:rsidR="00536900" w:rsidRPr="00D62C0A">
        <w:rPr>
          <w:rFonts w:ascii="Arial" w:hAnsi="Arial" w:cs="Arial"/>
          <w:b/>
          <w:bCs/>
          <w:sz w:val="20"/>
          <w:szCs w:val="20"/>
        </w:rPr>
        <w:t xml:space="preserve">Energia Elettrica </w:t>
      </w:r>
      <w:r w:rsidR="00536900" w:rsidRPr="003A13EA">
        <w:rPr>
          <w:rFonts w:ascii="Arial" w:hAnsi="Arial" w:cs="Arial"/>
          <w:b/>
          <w:bCs/>
          <w:sz w:val="20"/>
          <w:szCs w:val="20"/>
        </w:rPr>
        <w:t>(ID 2994)</w:t>
      </w:r>
      <w:r w:rsidR="00536900" w:rsidRPr="003A13EA">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w:t>
      </w:r>
      <w:r w:rsidRPr="00820454">
        <w:rPr>
          <w:rFonts w:ascii="Arial" w:hAnsi="Arial" w:cs="Arial"/>
          <w:bCs/>
          <w:sz w:val="20"/>
          <w:szCs w:val="20"/>
        </w:rPr>
        <w:t xml:space="preserve">entro </w:t>
      </w:r>
      <w:r w:rsidR="00820454" w:rsidRPr="00820454">
        <w:rPr>
          <w:rFonts w:ascii="Arial" w:hAnsi="Arial" w:cs="Arial"/>
          <w:bCs/>
          <w:sz w:val="20"/>
          <w:szCs w:val="20"/>
        </w:rPr>
        <w:t xml:space="preserve">il </w:t>
      </w:r>
      <w:r w:rsidRPr="00820454">
        <w:rPr>
          <w:rFonts w:ascii="Arial" w:hAnsi="Arial" w:cs="Arial"/>
          <w:b/>
          <w:bCs/>
          <w:sz w:val="20"/>
          <w:szCs w:val="20"/>
          <w:u w:val="single"/>
        </w:rPr>
        <w:t>15</w:t>
      </w:r>
      <w:r w:rsidR="00820454">
        <w:rPr>
          <w:rFonts w:ascii="Arial" w:hAnsi="Arial" w:cs="Arial"/>
          <w:b/>
          <w:bCs/>
          <w:sz w:val="20"/>
          <w:szCs w:val="20"/>
          <w:u w:val="single"/>
        </w:rPr>
        <w:t xml:space="preserve">/04/2026 </w:t>
      </w:r>
      <w:r w:rsidRPr="00744437">
        <w:rPr>
          <w:rFonts w:ascii="Arial" w:hAnsi="Arial" w:cs="Arial"/>
          <w:bCs/>
          <w:sz w:val="20"/>
          <w:szCs w:val="20"/>
        </w:rPr>
        <w:t xml:space="preserve">all’indirizzo PEC </w:t>
      </w:r>
      <w:hyperlink r:id="rId9" w:history="1">
        <w:r w:rsidR="00EF2CCB" w:rsidRPr="00D62C0A">
          <w:rPr>
            <w:rStyle w:val="Collegamentoipertestuale"/>
            <w:rFonts w:ascii="Arial" w:hAnsi="Arial" w:cs="Arial"/>
            <w:sz w:val="20"/>
            <w:szCs w:val="20"/>
          </w:rPr>
          <w:t>seusconsip@postacert.consip.it</w:t>
        </w:r>
      </w:hyperlink>
      <w:r w:rsidR="00EF2CCB" w:rsidRPr="00D62C0A">
        <w:rPr>
          <w:rFonts w:ascii="Arial" w:hAnsi="Arial" w:cs="Arial"/>
          <w:bCs/>
          <w:color w:val="0070C0"/>
          <w:sz w:val="20"/>
          <w:szCs w:val="20"/>
        </w:rPr>
        <w: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BEDBB35"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D1622" w:rsidRDefault="00A82C5B" w:rsidP="008B19A2">
      <w:pPr>
        <w:spacing w:line="300" w:lineRule="atLeast"/>
        <w:jc w:val="both"/>
        <w:rPr>
          <w:rFonts w:ascii="Arial" w:hAnsi="Arial" w:cs="Arial"/>
          <w:b/>
          <w:bCs/>
          <w:color w:val="000000" w:themeColor="text1"/>
          <w:sz w:val="22"/>
          <w:szCs w:val="20"/>
        </w:rPr>
      </w:pPr>
      <w:r w:rsidRPr="008D1622">
        <w:rPr>
          <w:rFonts w:ascii="Arial" w:hAnsi="Arial" w:cs="Arial"/>
          <w:b/>
          <w:bCs/>
          <w:color w:val="000000" w:themeColor="text1"/>
          <w:sz w:val="22"/>
          <w:szCs w:val="20"/>
        </w:rPr>
        <w:lastRenderedPageBreak/>
        <w:t>Dati azienda</w:t>
      </w: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A273AE" w:rsidRPr="00A273AE" w14:paraId="78C7313E" w14:textId="77777777" w:rsidTr="00216305">
        <w:tc>
          <w:tcPr>
            <w:tcW w:w="1394" w:type="pct"/>
            <w:vAlign w:val="center"/>
          </w:tcPr>
          <w:p w14:paraId="6A6B28A1"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Azienda</w:t>
            </w:r>
          </w:p>
        </w:tc>
        <w:tc>
          <w:tcPr>
            <w:tcW w:w="3606" w:type="pct"/>
            <w:vAlign w:val="center"/>
          </w:tcPr>
          <w:p w14:paraId="2C028C25" w14:textId="77777777" w:rsidR="006C414B" w:rsidRPr="00A273AE" w:rsidRDefault="006C414B" w:rsidP="008B19A2">
            <w:pPr>
              <w:spacing w:line="300" w:lineRule="atLeast"/>
              <w:rPr>
                <w:rFonts w:ascii="Arial" w:hAnsi="Arial" w:cs="Arial"/>
                <w:b/>
                <w:bCs/>
                <w:color w:val="000000" w:themeColor="text1"/>
                <w:sz w:val="20"/>
                <w:szCs w:val="20"/>
              </w:rPr>
            </w:pPr>
          </w:p>
        </w:tc>
      </w:tr>
      <w:tr w:rsidR="00A273AE" w:rsidRPr="00A273AE" w14:paraId="499EB69D" w14:textId="77777777" w:rsidTr="00216305">
        <w:tc>
          <w:tcPr>
            <w:tcW w:w="1394" w:type="pct"/>
            <w:vAlign w:val="center"/>
          </w:tcPr>
          <w:p w14:paraId="0CB91482"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Indirizzo</w:t>
            </w:r>
          </w:p>
        </w:tc>
        <w:tc>
          <w:tcPr>
            <w:tcW w:w="3606" w:type="pct"/>
            <w:vAlign w:val="center"/>
          </w:tcPr>
          <w:p w14:paraId="335471CE" w14:textId="77777777" w:rsidR="006C414B" w:rsidRPr="00A273AE" w:rsidRDefault="006C414B" w:rsidP="008B19A2">
            <w:pPr>
              <w:spacing w:line="300" w:lineRule="atLeast"/>
              <w:rPr>
                <w:rFonts w:ascii="Arial" w:hAnsi="Arial" w:cs="Arial"/>
                <w:b/>
                <w:bCs/>
                <w:color w:val="000000" w:themeColor="text1"/>
                <w:sz w:val="20"/>
                <w:szCs w:val="20"/>
              </w:rPr>
            </w:pPr>
          </w:p>
        </w:tc>
      </w:tr>
      <w:tr w:rsidR="00A273AE" w:rsidRPr="00A273AE" w14:paraId="43624739" w14:textId="77777777" w:rsidTr="00216305">
        <w:tc>
          <w:tcPr>
            <w:tcW w:w="1394" w:type="pct"/>
            <w:vAlign w:val="center"/>
          </w:tcPr>
          <w:p w14:paraId="68D08983"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Nome e cognome del referente</w:t>
            </w:r>
          </w:p>
        </w:tc>
        <w:tc>
          <w:tcPr>
            <w:tcW w:w="3606" w:type="pct"/>
            <w:vAlign w:val="center"/>
          </w:tcPr>
          <w:p w14:paraId="233856AF" w14:textId="77777777" w:rsidR="006C414B" w:rsidRPr="00A273AE" w:rsidRDefault="006C414B" w:rsidP="008B19A2">
            <w:pPr>
              <w:spacing w:line="300" w:lineRule="atLeast"/>
              <w:rPr>
                <w:rFonts w:ascii="Arial" w:hAnsi="Arial" w:cs="Arial"/>
                <w:b/>
                <w:bCs/>
                <w:color w:val="000000" w:themeColor="text1"/>
                <w:sz w:val="20"/>
                <w:szCs w:val="20"/>
              </w:rPr>
            </w:pPr>
          </w:p>
        </w:tc>
      </w:tr>
      <w:tr w:rsidR="00A273AE" w:rsidRPr="00A273AE" w14:paraId="48870718" w14:textId="77777777" w:rsidTr="00216305">
        <w:tc>
          <w:tcPr>
            <w:tcW w:w="1394" w:type="pct"/>
            <w:vAlign w:val="center"/>
          </w:tcPr>
          <w:p w14:paraId="2C5332C5"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Ruolo in azienda</w:t>
            </w:r>
          </w:p>
        </w:tc>
        <w:tc>
          <w:tcPr>
            <w:tcW w:w="3606" w:type="pct"/>
            <w:vAlign w:val="center"/>
          </w:tcPr>
          <w:p w14:paraId="0ECF79F9" w14:textId="77777777" w:rsidR="006C414B" w:rsidRPr="00A273AE" w:rsidRDefault="006C414B" w:rsidP="008B19A2">
            <w:pPr>
              <w:spacing w:line="300" w:lineRule="atLeast"/>
              <w:rPr>
                <w:rFonts w:ascii="Arial" w:hAnsi="Arial" w:cs="Arial"/>
                <w:b/>
                <w:bCs/>
                <w:color w:val="000000" w:themeColor="text1"/>
                <w:sz w:val="20"/>
                <w:szCs w:val="20"/>
              </w:rPr>
            </w:pPr>
          </w:p>
        </w:tc>
      </w:tr>
      <w:tr w:rsidR="00A273AE" w:rsidRPr="00A273AE" w14:paraId="039F06BF" w14:textId="77777777" w:rsidTr="00216305">
        <w:tc>
          <w:tcPr>
            <w:tcW w:w="1394" w:type="pct"/>
            <w:vAlign w:val="center"/>
          </w:tcPr>
          <w:p w14:paraId="7F28020D"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Telefono</w:t>
            </w:r>
          </w:p>
        </w:tc>
        <w:tc>
          <w:tcPr>
            <w:tcW w:w="3606" w:type="pct"/>
            <w:vAlign w:val="center"/>
          </w:tcPr>
          <w:p w14:paraId="3CE3A0DD" w14:textId="77777777" w:rsidR="006C414B" w:rsidRPr="00A273AE" w:rsidRDefault="006C414B" w:rsidP="008B19A2">
            <w:pPr>
              <w:spacing w:line="300" w:lineRule="atLeast"/>
              <w:rPr>
                <w:rFonts w:ascii="Arial" w:hAnsi="Arial" w:cs="Arial"/>
                <w:b/>
                <w:bCs/>
                <w:color w:val="000000" w:themeColor="text1"/>
                <w:sz w:val="20"/>
                <w:szCs w:val="20"/>
              </w:rPr>
            </w:pPr>
          </w:p>
        </w:tc>
      </w:tr>
      <w:tr w:rsidR="00A273AE" w:rsidRPr="00A273AE" w14:paraId="18590530" w14:textId="77777777" w:rsidTr="00216305">
        <w:tc>
          <w:tcPr>
            <w:tcW w:w="1394" w:type="pct"/>
            <w:vAlign w:val="center"/>
          </w:tcPr>
          <w:p w14:paraId="06D2734E"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Fax</w:t>
            </w:r>
          </w:p>
        </w:tc>
        <w:tc>
          <w:tcPr>
            <w:tcW w:w="3606" w:type="pct"/>
            <w:vAlign w:val="center"/>
          </w:tcPr>
          <w:p w14:paraId="529E275D" w14:textId="77777777" w:rsidR="006C414B" w:rsidRPr="00A273AE" w:rsidRDefault="006C414B" w:rsidP="008B19A2">
            <w:pPr>
              <w:spacing w:line="300" w:lineRule="atLeast"/>
              <w:rPr>
                <w:rFonts w:ascii="Arial" w:hAnsi="Arial" w:cs="Arial"/>
                <w:b/>
                <w:bCs/>
                <w:color w:val="000000" w:themeColor="text1"/>
                <w:sz w:val="20"/>
                <w:szCs w:val="20"/>
              </w:rPr>
            </w:pPr>
          </w:p>
        </w:tc>
      </w:tr>
      <w:tr w:rsidR="00A273AE" w:rsidRPr="00A273AE" w14:paraId="47C83F89" w14:textId="77777777" w:rsidTr="00216305">
        <w:tc>
          <w:tcPr>
            <w:tcW w:w="1394" w:type="pct"/>
            <w:vAlign w:val="center"/>
          </w:tcPr>
          <w:p w14:paraId="2A28B338"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Indirizzo e-mail</w:t>
            </w:r>
          </w:p>
        </w:tc>
        <w:tc>
          <w:tcPr>
            <w:tcW w:w="3606" w:type="pct"/>
            <w:vAlign w:val="center"/>
          </w:tcPr>
          <w:p w14:paraId="76702855" w14:textId="77777777" w:rsidR="006C414B" w:rsidRPr="00A273AE" w:rsidRDefault="006C414B" w:rsidP="008B19A2">
            <w:pPr>
              <w:spacing w:line="300" w:lineRule="atLeast"/>
              <w:rPr>
                <w:rFonts w:ascii="Arial" w:hAnsi="Arial" w:cs="Arial"/>
                <w:b/>
                <w:bCs/>
                <w:color w:val="000000" w:themeColor="text1"/>
                <w:sz w:val="20"/>
                <w:szCs w:val="20"/>
              </w:rPr>
            </w:pPr>
          </w:p>
        </w:tc>
      </w:tr>
      <w:tr w:rsidR="00A273AE" w:rsidRPr="00A273AE" w14:paraId="199537E6" w14:textId="77777777" w:rsidTr="00216305">
        <w:tc>
          <w:tcPr>
            <w:tcW w:w="1394" w:type="pct"/>
            <w:vAlign w:val="center"/>
          </w:tcPr>
          <w:p w14:paraId="683A51F2" w14:textId="77777777" w:rsidR="006C414B" w:rsidRPr="00A273AE" w:rsidRDefault="00A82C5B" w:rsidP="008B19A2">
            <w:pPr>
              <w:spacing w:line="300" w:lineRule="atLeast"/>
              <w:rPr>
                <w:rFonts w:ascii="Arial" w:hAnsi="Arial" w:cs="Arial"/>
                <w:b/>
                <w:bCs/>
                <w:color w:val="000000" w:themeColor="text1"/>
                <w:sz w:val="20"/>
                <w:szCs w:val="20"/>
              </w:rPr>
            </w:pPr>
            <w:r w:rsidRPr="00A273AE">
              <w:rPr>
                <w:rFonts w:ascii="Arial" w:hAnsi="Arial" w:cs="Arial"/>
                <w:b/>
                <w:bCs/>
                <w:color w:val="000000" w:themeColor="text1"/>
                <w:sz w:val="20"/>
                <w:szCs w:val="20"/>
              </w:rPr>
              <w:t>Data compilazione del questionario</w:t>
            </w:r>
          </w:p>
        </w:tc>
        <w:tc>
          <w:tcPr>
            <w:tcW w:w="3606" w:type="pct"/>
            <w:vAlign w:val="center"/>
          </w:tcPr>
          <w:p w14:paraId="20668F53" w14:textId="77777777" w:rsidR="006C414B" w:rsidRPr="00A273AE" w:rsidRDefault="006C414B" w:rsidP="008B19A2">
            <w:pPr>
              <w:spacing w:line="300" w:lineRule="atLeast"/>
              <w:rPr>
                <w:rFonts w:ascii="Arial" w:hAnsi="Arial" w:cs="Arial"/>
                <w:b/>
                <w:bCs/>
                <w:color w:val="000000" w:themeColor="text1"/>
                <w:sz w:val="20"/>
                <w:szCs w:val="20"/>
              </w:rPr>
            </w:pPr>
          </w:p>
        </w:tc>
      </w:tr>
    </w:tbl>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D1622" w:rsidRDefault="00A82C5B" w:rsidP="008B19A2">
      <w:pPr>
        <w:spacing w:line="300" w:lineRule="atLeast"/>
        <w:rPr>
          <w:rFonts w:ascii="Arial" w:hAnsi="Arial" w:cs="Arial"/>
          <w:b/>
          <w:bCs/>
          <w:color w:val="000000" w:themeColor="text1"/>
          <w:sz w:val="22"/>
          <w:szCs w:val="20"/>
        </w:rPr>
      </w:pPr>
      <w:r w:rsidRPr="008D1622">
        <w:rPr>
          <w:rFonts w:ascii="Arial" w:hAnsi="Arial" w:cs="Arial"/>
          <w:b/>
          <w:bCs/>
          <w:color w:val="000000" w:themeColor="text1"/>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6A33CB79"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3DD5EA1E" w:rsidR="006C414B" w:rsidRPr="008D1622" w:rsidRDefault="00A82C5B" w:rsidP="00430D89">
      <w:pPr>
        <w:spacing w:line="360" w:lineRule="auto"/>
        <w:rPr>
          <w:rFonts w:ascii="Arial" w:hAnsi="Arial" w:cs="Arial"/>
          <w:b/>
          <w:bCs/>
          <w:color w:val="000000" w:themeColor="text1"/>
          <w:sz w:val="22"/>
          <w:szCs w:val="22"/>
        </w:rPr>
      </w:pPr>
      <w:r>
        <w:rPr>
          <w:rFonts w:asciiTheme="minorHAnsi" w:hAnsiTheme="minorHAnsi" w:cs="Arial"/>
          <w:b/>
          <w:bCs/>
          <w:sz w:val="20"/>
          <w:szCs w:val="20"/>
        </w:rPr>
        <w:br w:type="page"/>
      </w:r>
      <w:r w:rsidRPr="008D1622">
        <w:rPr>
          <w:rFonts w:ascii="Arial" w:hAnsi="Arial" w:cs="Arial"/>
          <w:b/>
          <w:bCs/>
          <w:color w:val="000000" w:themeColor="text1"/>
          <w:sz w:val="22"/>
          <w:szCs w:val="22"/>
        </w:rPr>
        <w:lastRenderedPageBreak/>
        <w:t>Breve descrizione dell’iniziativa</w:t>
      </w:r>
    </w:p>
    <w:p w14:paraId="6B32677C" w14:textId="77777777" w:rsidR="00D66252" w:rsidRPr="00F75EB2" w:rsidRDefault="00D66252" w:rsidP="00D66252">
      <w:pPr>
        <w:spacing w:line="276" w:lineRule="auto"/>
        <w:jc w:val="both"/>
        <w:rPr>
          <w:rFonts w:ascii="Arial" w:hAnsi="Arial" w:cs="Arial"/>
          <w:bCs/>
          <w:sz w:val="20"/>
          <w:szCs w:val="20"/>
        </w:rPr>
      </w:pPr>
      <w:r w:rsidRPr="00D62C0A">
        <w:rPr>
          <w:rFonts w:ascii="Arial" w:hAnsi="Arial" w:cs="Arial"/>
          <w:bCs/>
          <w:sz w:val="20"/>
          <w:szCs w:val="20"/>
        </w:rPr>
        <w:t xml:space="preserve">Consip intende bandire una gara d’appalto per la fornitura di energia elettrica e dei servizi connessi per le Pubbliche Amministrazioni, suddivisa in lotti geografici. A seguito della gara sarà stipulata una convenzione con ciascun fornitore aggiudicatario dei singoli lotti. Il fornitore sarà tenuto a rifornire tutte le Amministrazioni che risponderanno a criteri prestabiliti ed invieranno un ordinativo di fornitura, fino al </w:t>
      </w:r>
      <w:r w:rsidRPr="00F75EB2">
        <w:rPr>
          <w:rFonts w:ascii="Arial" w:hAnsi="Arial" w:cs="Arial"/>
          <w:bCs/>
          <w:sz w:val="20"/>
          <w:szCs w:val="20"/>
        </w:rPr>
        <w:t>raggiungimento del quantitativo massimo della gara.</w:t>
      </w:r>
    </w:p>
    <w:p w14:paraId="07B8F949" w14:textId="77777777" w:rsidR="00D66252" w:rsidRPr="00495CA3" w:rsidRDefault="00D66252" w:rsidP="00D66252">
      <w:pPr>
        <w:spacing w:line="276" w:lineRule="auto"/>
        <w:jc w:val="both"/>
        <w:rPr>
          <w:rFonts w:ascii="Arial" w:hAnsi="Arial" w:cs="Arial"/>
          <w:bCs/>
          <w:color w:val="000000" w:themeColor="text1"/>
          <w:sz w:val="20"/>
          <w:szCs w:val="20"/>
        </w:rPr>
      </w:pPr>
      <w:r w:rsidRPr="00F75EB2">
        <w:rPr>
          <w:rFonts w:ascii="Arial" w:hAnsi="Arial" w:cs="Arial"/>
          <w:bCs/>
          <w:sz w:val="20"/>
          <w:szCs w:val="20"/>
        </w:rPr>
        <w:t xml:space="preserve">Ciascuna convenzione avrà un periodo indicativo di adesione di 12 mesi, eventualmente prorogabili. I singoli contratti di fornitura, attivati dalle Pubbliche Amministrazioni mediante l’adesione alla convenzione, avranno una durata compresa tra i 12 e i 24 mesi. Per garantire una minore esposizione al rischio, dare maggiore stimolo alla concorrenza e agevolare la </w:t>
      </w:r>
      <w:r w:rsidRPr="00D8001D">
        <w:rPr>
          <w:rFonts w:ascii="Arial" w:hAnsi="Arial" w:cs="Arial"/>
          <w:bCs/>
          <w:color w:val="000000" w:themeColor="text1"/>
          <w:sz w:val="20"/>
          <w:szCs w:val="20"/>
        </w:rPr>
        <w:t xml:space="preserve">presentazione di </w:t>
      </w:r>
      <w:r w:rsidRPr="00495CA3">
        <w:rPr>
          <w:rFonts w:ascii="Arial" w:hAnsi="Arial" w:cs="Arial"/>
          <w:bCs/>
          <w:color w:val="000000" w:themeColor="text1"/>
          <w:sz w:val="20"/>
          <w:szCs w:val="20"/>
        </w:rPr>
        <w:t>offerte competitive, si pensa di suddividere il quantitativo annuo messo a gara (si stima sia compreso tra 11-13 TWh al netto di eventuali estensioni) in lotti geografici del valore singolo compreso nel range 80 – 1.400 GWh/anno. Si precisa che:</w:t>
      </w:r>
    </w:p>
    <w:p w14:paraId="5E401519" w14:textId="77777777" w:rsidR="00D66252" w:rsidRPr="00495CA3" w:rsidRDefault="00D66252" w:rsidP="00D66252">
      <w:pPr>
        <w:pStyle w:val="Paragrafoelenco"/>
        <w:numPr>
          <w:ilvl w:val="0"/>
          <w:numId w:val="6"/>
        </w:numPr>
        <w:spacing w:line="276" w:lineRule="auto"/>
        <w:ind w:left="284" w:hanging="283"/>
        <w:jc w:val="both"/>
        <w:rPr>
          <w:rFonts w:ascii="Arial" w:hAnsi="Arial" w:cs="Arial"/>
          <w:bCs/>
          <w:color w:val="000000" w:themeColor="text1"/>
          <w:sz w:val="20"/>
          <w:szCs w:val="20"/>
        </w:rPr>
      </w:pPr>
      <w:r w:rsidRPr="00495CA3">
        <w:rPr>
          <w:rFonts w:ascii="Arial" w:hAnsi="Arial" w:cs="Arial"/>
          <w:bCs/>
          <w:color w:val="000000" w:themeColor="text1"/>
          <w:sz w:val="20"/>
          <w:szCs w:val="20"/>
        </w:rPr>
        <w:t>il quantitativo massimo non è garantito;</w:t>
      </w:r>
    </w:p>
    <w:p w14:paraId="5B764708" w14:textId="77777777" w:rsidR="00D66252" w:rsidRPr="00495CA3" w:rsidRDefault="00D66252" w:rsidP="00D66252">
      <w:pPr>
        <w:pStyle w:val="Paragrafoelenco"/>
        <w:numPr>
          <w:ilvl w:val="0"/>
          <w:numId w:val="6"/>
        </w:numPr>
        <w:spacing w:line="276" w:lineRule="auto"/>
        <w:ind w:left="284" w:hanging="283"/>
        <w:jc w:val="both"/>
        <w:rPr>
          <w:rFonts w:ascii="Arial" w:hAnsi="Arial" w:cs="Arial"/>
          <w:bCs/>
          <w:color w:val="000000" w:themeColor="text1"/>
          <w:sz w:val="20"/>
          <w:szCs w:val="20"/>
        </w:rPr>
      </w:pPr>
      <w:r w:rsidRPr="00495CA3">
        <w:rPr>
          <w:rFonts w:ascii="Arial" w:hAnsi="Arial" w:cs="Arial"/>
          <w:bCs/>
          <w:color w:val="000000" w:themeColor="text1"/>
          <w:sz w:val="20"/>
          <w:szCs w:val="20"/>
        </w:rPr>
        <w:t>non è conosciuta a priori la distribuzione delle adesioni, né in termini geografici, né quantitativi, né qualitativi.</w:t>
      </w:r>
    </w:p>
    <w:p w14:paraId="638FEDC6" w14:textId="2DAF7AE4" w:rsidR="00D66252" w:rsidRPr="00D8001D" w:rsidRDefault="006C4447" w:rsidP="00D66252">
      <w:pPr>
        <w:spacing w:line="276" w:lineRule="auto"/>
        <w:jc w:val="both"/>
        <w:rPr>
          <w:rFonts w:ascii="Arial" w:hAnsi="Arial" w:cs="Arial"/>
          <w:bCs/>
          <w:color w:val="000000" w:themeColor="text1"/>
          <w:sz w:val="20"/>
          <w:szCs w:val="20"/>
        </w:rPr>
      </w:pPr>
      <w:r>
        <w:rPr>
          <w:rFonts w:ascii="Arial" w:hAnsi="Arial" w:cs="Arial"/>
          <w:bCs/>
          <w:color w:val="000000" w:themeColor="text1"/>
          <w:sz w:val="20"/>
          <w:szCs w:val="20"/>
        </w:rPr>
        <w:t>Dati recenti</w:t>
      </w:r>
      <w:r w:rsidR="00D66252" w:rsidRPr="00D8001D">
        <w:rPr>
          <w:rFonts w:ascii="Arial" w:hAnsi="Arial" w:cs="Arial"/>
          <w:bCs/>
          <w:color w:val="000000" w:themeColor="text1"/>
          <w:sz w:val="20"/>
          <w:szCs w:val="20"/>
        </w:rPr>
        <w:t xml:space="preserve"> relativi ai consumi dell</w:t>
      </w:r>
      <w:r>
        <w:rPr>
          <w:rFonts w:ascii="Arial" w:hAnsi="Arial" w:cs="Arial"/>
          <w:bCs/>
          <w:color w:val="000000" w:themeColor="text1"/>
          <w:sz w:val="20"/>
          <w:szCs w:val="20"/>
        </w:rPr>
        <w:t>e</w:t>
      </w:r>
      <w:r w:rsidR="00D66252" w:rsidRPr="00D8001D">
        <w:rPr>
          <w:rFonts w:ascii="Arial" w:hAnsi="Arial" w:cs="Arial"/>
          <w:bCs/>
          <w:color w:val="000000" w:themeColor="text1"/>
          <w:sz w:val="20"/>
          <w:szCs w:val="20"/>
        </w:rPr>
        <w:t xml:space="preserve"> PA utilizzatrici delle convenzioni Consip, sono disponibili nella sezione Documentazione riservata all’iniziativa Energia Elettrica </w:t>
      </w:r>
      <w:r w:rsidR="00D66252">
        <w:rPr>
          <w:rFonts w:ascii="Arial" w:hAnsi="Arial" w:cs="Arial"/>
          <w:bCs/>
          <w:color w:val="000000" w:themeColor="text1"/>
          <w:sz w:val="20"/>
          <w:szCs w:val="20"/>
        </w:rPr>
        <w:t>(ID 2880)</w:t>
      </w:r>
      <w:r w:rsidR="00D66252" w:rsidRPr="00D8001D">
        <w:rPr>
          <w:rFonts w:ascii="Arial" w:hAnsi="Arial" w:cs="Arial"/>
          <w:bCs/>
          <w:color w:val="000000" w:themeColor="text1"/>
          <w:sz w:val="20"/>
          <w:szCs w:val="20"/>
        </w:rPr>
        <w:t xml:space="preserve"> sul portale www.acquistinretepa.it (file Excel </w:t>
      </w:r>
      <w:r w:rsidR="00D66252">
        <w:rPr>
          <w:rFonts w:ascii="Arial" w:hAnsi="Arial" w:cs="Arial"/>
          <w:bCs/>
          <w:color w:val="000000" w:themeColor="text1"/>
          <w:sz w:val="20"/>
          <w:szCs w:val="20"/>
        </w:rPr>
        <w:t>“</w:t>
      </w:r>
      <w:r w:rsidR="00D66252" w:rsidRPr="0084278E">
        <w:rPr>
          <w:rFonts w:ascii="Arial" w:hAnsi="Arial" w:cs="Arial"/>
          <w:bCs/>
          <w:color w:val="000000" w:themeColor="text1"/>
          <w:sz w:val="20"/>
          <w:szCs w:val="20"/>
        </w:rPr>
        <w:t>EE ID 2880 - Dati generali sui consumi elettrici delle PA 2024</w:t>
      </w:r>
      <w:r w:rsidR="00D66252">
        <w:rPr>
          <w:rFonts w:ascii="Arial" w:hAnsi="Arial" w:cs="Arial"/>
          <w:bCs/>
          <w:color w:val="000000" w:themeColor="text1"/>
          <w:sz w:val="20"/>
          <w:szCs w:val="20"/>
        </w:rPr>
        <w:t>”</w:t>
      </w:r>
      <w:r w:rsidR="00D66252" w:rsidRPr="00D8001D">
        <w:rPr>
          <w:rFonts w:ascii="Arial" w:hAnsi="Arial" w:cs="Arial"/>
          <w:bCs/>
          <w:color w:val="000000" w:themeColor="text1"/>
          <w:sz w:val="20"/>
          <w:szCs w:val="20"/>
        </w:rPr>
        <w:t>).</w:t>
      </w:r>
    </w:p>
    <w:p w14:paraId="23A1A60A" w14:textId="77777777" w:rsidR="00D66252" w:rsidRPr="008D1622" w:rsidRDefault="00D66252" w:rsidP="00D66252">
      <w:pPr>
        <w:spacing w:line="360" w:lineRule="auto"/>
        <w:jc w:val="both"/>
        <w:rPr>
          <w:rFonts w:ascii="Arial" w:hAnsi="Arial" w:cs="Arial"/>
          <w:b/>
          <w:bCs/>
          <w:color w:val="000000" w:themeColor="text1"/>
          <w:sz w:val="22"/>
          <w:szCs w:val="22"/>
        </w:rPr>
      </w:pPr>
    </w:p>
    <w:p w14:paraId="0B6B90B2" w14:textId="77777777" w:rsidR="00D66252" w:rsidRPr="008D1622" w:rsidRDefault="00D66252" w:rsidP="00430D89">
      <w:pPr>
        <w:spacing w:line="360" w:lineRule="auto"/>
        <w:rPr>
          <w:rFonts w:ascii="Arial" w:hAnsi="Arial" w:cs="Arial"/>
          <w:b/>
          <w:bCs/>
          <w:color w:val="000000" w:themeColor="text1"/>
          <w:sz w:val="22"/>
          <w:szCs w:val="22"/>
        </w:rPr>
      </w:pPr>
      <w:r w:rsidRPr="008D1622">
        <w:rPr>
          <w:rFonts w:ascii="Arial" w:hAnsi="Arial" w:cs="Arial"/>
          <w:b/>
          <w:bCs/>
          <w:color w:val="000000" w:themeColor="text1"/>
          <w:sz w:val="22"/>
          <w:szCs w:val="22"/>
        </w:rPr>
        <w:t>Domande</w:t>
      </w:r>
    </w:p>
    <w:p w14:paraId="389AC5F2" w14:textId="77777777" w:rsidR="00D66252" w:rsidRPr="00D8001D" w:rsidRDefault="00D66252" w:rsidP="00D6625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 xml:space="preserve">Si prevede di mettere a gara la fornitura di energia elettrica e dei servizi connessi per le Pubbliche Amministrazioni sulla base di differenti lotti geografici. Sarebbe interessato a partecipare alla gara in oggetto? In caso negativo quali sono le principali motivazioni? </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7439CB52" w14:textId="77777777" w:rsidTr="004A1637">
        <w:trPr>
          <w:trHeight w:val="1824"/>
        </w:trPr>
        <w:tc>
          <w:tcPr>
            <w:tcW w:w="8642" w:type="dxa"/>
            <w:shd w:val="clear" w:color="auto" w:fill="F2F2F2" w:themeFill="background1" w:themeFillShade="F2"/>
          </w:tcPr>
          <w:p w14:paraId="24A8A11E" w14:textId="77777777" w:rsidR="00D66252" w:rsidRPr="00D8001D" w:rsidRDefault="00D66252" w:rsidP="004A0FEA">
            <w:pPr>
              <w:jc w:val="both"/>
              <w:rPr>
                <w:rFonts w:ascii="Arial" w:hAnsi="Arial" w:cs="Arial"/>
                <w:bCs/>
                <w:color w:val="000000" w:themeColor="text1"/>
                <w:sz w:val="20"/>
                <w:szCs w:val="20"/>
              </w:rPr>
            </w:pPr>
          </w:p>
        </w:tc>
      </w:tr>
    </w:tbl>
    <w:p w14:paraId="6839F74E" w14:textId="77777777" w:rsidR="00D66252" w:rsidRPr="00D8001D" w:rsidRDefault="00D66252" w:rsidP="00D66252">
      <w:pPr>
        <w:spacing w:after="120" w:line="276" w:lineRule="auto"/>
        <w:ind w:left="357"/>
        <w:jc w:val="both"/>
        <w:rPr>
          <w:rFonts w:ascii="Arial" w:hAnsi="Arial" w:cs="Arial"/>
          <w:bCs/>
          <w:color w:val="000000" w:themeColor="text1"/>
          <w:sz w:val="20"/>
          <w:szCs w:val="20"/>
        </w:rPr>
      </w:pPr>
    </w:p>
    <w:p w14:paraId="12D1688B" w14:textId="77777777" w:rsidR="00D66252" w:rsidRPr="00D8001D" w:rsidRDefault="00D66252" w:rsidP="00D6625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Indicare il fatturato globale dell’azienda e il fatturato per la fornitura di energia elettrica relativo agli ultimi cinque esercizi finanziari approvati alla data di pubblicazione del presente Documento di consultazione del mercato.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D66252" w:rsidRPr="00D8001D" w14:paraId="4FF91F9A" w14:textId="77777777" w:rsidTr="00981621">
        <w:trPr>
          <w:trHeight w:val="1383"/>
        </w:trPr>
        <w:tc>
          <w:tcPr>
            <w:tcW w:w="8494" w:type="dxa"/>
            <w:shd w:val="clear" w:color="auto" w:fill="F2F2F2" w:themeFill="background1" w:themeFillShade="F2"/>
          </w:tcPr>
          <w:tbl>
            <w:tblPr>
              <w:tblStyle w:val="Grigliatabella"/>
              <w:tblW w:w="8817" w:type="dxa"/>
              <w:jc w:val="center"/>
              <w:tblLook w:val="04A0" w:firstRow="1" w:lastRow="0" w:firstColumn="1" w:lastColumn="0" w:noHBand="0" w:noVBand="1"/>
            </w:tblPr>
            <w:tblGrid>
              <w:gridCol w:w="2756"/>
              <w:gridCol w:w="2756"/>
              <w:gridCol w:w="3305"/>
            </w:tblGrid>
            <w:tr w:rsidR="00D66252" w:rsidRPr="00D8001D" w14:paraId="5CAFF99A" w14:textId="77777777" w:rsidTr="004A0FEA">
              <w:trPr>
                <w:jc w:val="center"/>
              </w:trPr>
              <w:tc>
                <w:tcPr>
                  <w:tcW w:w="2756" w:type="dxa"/>
                  <w:vAlign w:val="center"/>
                </w:tcPr>
                <w:p w14:paraId="06A463FB" w14:textId="77777777" w:rsidR="00D66252" w:rsidRPr="00D8001D" w:rsidRDefault="00D66252" w:rsidP="004A0FEA">
                  <w:pPr>
                    <w:jc w:val="center"/>
                    <w:rPr>
                      <w:rFonts w:ascii="Arial" w:hAnsi="Arial" w:cs="Arial"/>
                      <w:bCs/>
                      <w:color w:val="000000" w:themeColor="text1"/>
                      <w:sz w:val="20"/>
                      <w:szCs w:val="20"/>
                    </w:rPr>
                  </w:pPr>
                  <w:r w:rsidRPr="00D8001D">
                    <w:rPr>
                      <w:rFonts w:ascii="Arial" w:hAnsi="Arial" w:cs="Arial"/>
                      <w:bCs/>
                      <w:color w:val="000000" w:themeColor="text1"/>
                      <w:sz w:val="20"/>
                      <w:szCs w:val="20"/>
                    </w:rPr>
                    <w:t>Anno</w:t>
                  </w:r>
                </w:p>
              </w:tc>
              <w:tc>
                <w:tcPr>
                  <w:tcW w:w="2756" w:type="dxa"/>
                  <w:vAlign w:val="center"/>
                </w:tcPr>
                <w:p w14:paraId="6B9C5299" w14:textId="77777777" w:rsidR="00D66252" w:rsidRPr="00D8001D" w:rsidRDefault="00D66252" w:rsidP="004A0FEA">
                  <w:pPr>
                    <w:jc w:val="center"/>
                    <w:rPr>
                      <w:rFonts w:ascii="Arial" w:hAnsi="Arial" w:cs="Arial"/>
                      <w:bCs/>
                      <w:color w:val="000000" w:themeColor="text1"/>
                      <w:sz w:val="20"/>
                      <w:szCs w:val="20"/>
                    </w:rPr>
                  </w:pPr>
                  <w:r w:rsidRPr="00D8001D">
                    <w:rPr>
                      <w:rFonts w:ascii="Arial" w:hAnsi="Arial" w:cs="Arial"/>
                      <w:bCs/>
                      <w:color w:val="000000" w:themeColor="text1"/>
                      <w:sz w:val="20"/>
                      <w:szCs w:val="20"/>
                    </w:rPr>
                    <w:t>Fatturato Globale</w:t>
                  </w:r>
                </w:p>
              </w:tc>
              <w:tc>
                <w:tcPr>
                  <w:tcW w:w="3305" w:type="dxa"/>
                  <w:vAlign w:val="center"/>
                </w:tcPr>
                <w:p w14:paraId="67199D2F" w14:textId="77777777" w:rsidR="00D66252" w:rsidRPr="00D8001D" w:rsidRDefault="00D66252" w:rsidP="004A0FEA">
                  <w:pPr>
                    <w:jc w:val="center"/>
                    <w:rPr>
                      <w:rFonts w:ascii="Arial" w:hAnsi="Arial" w:cs="Arial"/>
                      <w:bCs/>
                      <w:color w:val="000000" w:themeColor="text1"/>
                      <w:sz w:val="20"/>
                      <w:szCs w:val="20"/>
                    </w:rPr>
                  </w:pPr>
                  <w:r w:rsidRPr="00D8001D">
                    <w:rPr>
                      <w:rFonts w:ascii="Arial" w:hAnsi="Arial" w:cs="Arial"/>
                      <w:bCs/>
                      <w:color w:val="000000" w:themeColor="text1"/>
                      <w:sz w:val="20"/>
                      <w:szCs w:val="20"/>
                    </w:rPr>
                    <w:t>Fatturato vendita energia elettrica</w:t>
                  </w:r>
                </w:p>
              </w:tc>
            </w:tr>
            <w:tr w:rsidR="00D66252" w:rsidRPr="00D8001D" w14:paraId="40F1EE4D" w14:textId="77777777" w:rsidTr="004A0FEA">
              <w:trPr>
                <w:jc w:val="center"/>
              </w:trPr>
              <w:tc>
                <w:tcPr>
                  <w:tcW w:w="2756" w:type="dxa"/>
                  <w:vAlign w:val="center"/>
                </w:tcPr>
                <w:p w14:paraId="66076781" w14:textId="77777777" w:rsidR="00D66252" w:rsidRPr="00D8001D" w:rsidRDefault="00D66252" w:rsidP="004A0FEA">
                  <w:pPr>
                    <w:jc w:val="both"/>
                    <w:rPr>
                      <w:rFonts w:ascii="Arial" w:hAnsi="Arial" w:cs="Arial"/>
                      <w:bCs/>
                      <w:color w:val="000000" w:themeColor="text1"/>
                      <w:sz w:val="20"/>
                      <w:szCs w:val="20"/>
                    </w:rPr>
                  </w:pPr>
                </w:p>
              </w:tc>
              <w:tc>
                <w:tcPr>
                  <w:tcW w:w="2756" w:type="dxa"/>
                  <w:vAlign w:val="center"/>
                </w:tcPr>
                <w:p w14:paraId="451AA28B" w14:textId="77777777" w:rsidR="00D66252" w:rsidRPr="00D8001D" w:rsidRDefault="00D66252" w:rsidP="004A0FEA">
                  <w:pPr>
                    <w:jc w:val="both"/>
                    <w:rPr>
                      <w:rFonts w:ascii="Arial" w:hAnsi="Arial" w:cs="Arial"/>
                      <w:bCs/>
                      <w:color w:val="000000" w:themeColor="text1"/>
                      <w:sz w:val="20"/>
                      <w:szCs w:val="20"/>
                    </w:rPr>
                  </w:pPr>
                </w:p>
              </w:tc>
              <w:tc>
                <w:tcPr>
                  <w:tcW w:w="3305" w:type="dxa"/>
                  <w:vAlign w:val="center"/>
                </w:tcPr>
                <w:p w14:paraId="29DA90CE" w14:textId="77777777" w:rsidR="00D66252" w:rsidRPr="00D8001D" w:rsidRDefault="00D66252" w:rsidP="004A0FEA">
                  <w:pPr>
                    <w:jc w:val="both"/>
                    <w:rPr>
                      <w:rFonts w:ascii="Arial" w:hAnsi="Arial" w:cs="Arial"/>
                      <w:bCs/>
                      <w:color w:val="000000" w:themeColor="text1"/>
                      <w:sz w:val="20"/>
                      <w:szCs w:val="20"/>
                    </w:rPr>
                  </w:pPr>
                </w:p>
              </w:tc>
            </w:tr>
            <w:tr w:rsidR="00D66252" w:rsidRPr="00D8001D" w14:paraId="0E62DD0E" w14:textId="77777777" w:rsidTr="004A0FEA">
              <w:trPr>
                <w:jc w:val="center"/>
              </w:trPr>
              <w:tc>
                <w:tcPr>
                  <w:tcW w:w="2756" w:type="dxa"/>
                  <w:vAlign w:val="center"/>
                </w:tcPr>
                <w:p w14:paraId="1C4FD40B" w14:textId="77777777" w:rsidR="00D66252" w:rsidRPr="00D8001D" w:rsidRDefault="00D66252" w:rsidP="004A0FEA">
                  <w:pPr>
                    <w:jc w:val="both"/>
                    <w:rPr>
                      <w:rFonts w:ascii="Arial" w:hAnsi="Arial" w:cs="Arial"/>
                      <w:bCs/>
                      <w:color w:val="000000" w:themeColor="text1"/>
                      <w:sz w:val="20"/>
                      <w:szCs w:val="20"/>
                    </w:rPr>
                  </w:pPr>
                </w:p>
              </w:tc>
              <w:tc>
                <w:tcPr>
                  <w:tcW w:w="2756" w:type="dxa"/>
                  <w:vAlign w:val="center"/>
                </w:tcPr>
                <w:p w14:paraId="3D867C31" w14:textId="77777777" w:rsidR="00D66252" w:rsidRPr="00D8001D" w:rsidRDefault="00D66252" w:rsidP="004A0FEA">
                  <w:pPr>
                    <w:jc w:val="both"/>
                    <w:rPr>
                      <w:rFonts w:ascii="Arial" w:hAnsi="Arial" w:cs="Arial"/>
                      <w:bCs/>
                      <w:color w:val="000000" w:themeColor="text1"/>
                      <w:sz w:val="20"/>
                      <w:szCs w:val="20"/>
                    </w:rPr>
                  </w:pPr>
                </w:p>
              </w:tc>
              <w:tc>
                <w:tcPr>
                  <w:tcW w:w="3305" w:type="dxa"/>
                  <w:vAlign w:val="center"/>
                </w:tcPr>
                <w:p w14:paraId="6B57479A" w14:textId="77777777" w:rsidR="00D66252" w:rsidRPr="00D8001D" w:rsidRDefault="00D66252" w:rsidP="004A0FEA">
                  <w:pPr>
                    <w:jc w:val="both"/>
                    <w:rPr>
                      <w:rFonts w:ascii="Arial" w:hAnsi="Arial" w:cs="Arial"/>
                      <w:bCs/>
                      <w:color w:val="000000" w:themeColor="text1"/>
                      <w:sz w:val="20"/>
                      <w:szCs w:val="20"/>
                    </w:rPr>
                  </w:pPr>
                </w:p>
              </w:tc>
            </w:tr>
            <w:tr w:rsidR="00D66252" w:rsidRPr="00D8001D" w14:paraId="78499F98" w14:textId="77777777" w:rsidTr="004A0FEA">
              <w:trPr>
                <w:jc w:val="center"/>
              </w:trPr>
              <w:tc>
                <w:tcPr>
                  <w:tcW w:w="2756" w:type="dxa"/>
                  <w:vAlign w:val="center"/>
                </w:tcPr>
                <w:p w14:paraId="01C70A2D" w14:textId="77777777" w:rsidR="00D66252" w:rsidRPr="00D8001D" w:rsidRDefault="00D66252" w:rsidP="004A0FEA">
                  <w:pPr>
                    <w:jc w:val="both"/>
                    <w:rPr>
                      <w:rFonts w:ascii="Arial" w:hAnsi="Arial" w:cs="Arial"/>
                      <w:bCs/>
                      <w:color w:val="000000" w:themeColor="text1"/>
                      <w:sz w:val="20"/>
                      <w:szCs w:val="20"/>
                    </w:rPr>
                  </w:pPr>
                </w:p>
              </w:tc>
              <w:tc>
                <w:tcPr>
                  <w:tcW w:w="2756" w:type="dxa"/>
                  <w:vAlign w:val="center"/>
                </w:tcPr>
                <w:p w14:paraId="4BDE1AA4" w14:textId="77777777" w:rsidR="00D66252" w:rsidRPr="00D8001D" w:rsidRDefault="00D66252" w:rsidP="004A0FEA">
                  <w:pPr>
                    <w:jc w:val="both"/>
                    <w:rPr>
                      <w:rFonts w:ascii="Arial" w:hAnsi="Arial" w:cs="Arial"/>
                      <w:bCs/>
                      <w:color w:val="000000" w:themeColor="text1"/>
                      <w:sz w:val="20"/>
                      <w:szCs w:val="20"/>
                    </w:rPr>
                  </w:pPr>
                </w:p>
              </w:tc>
              <w:tc>
                <w:tcPr>
                  <w:tcW w:w="3305" w:type="dxa"/>
                  <w:vAlign w:val="center"/>
                </w:tcPr>
                <w:p w14:paraId="22B0EB8F" w14:textId="77777777" w:rsidR="00D66252" w:rsidRPr="00D8001D" w:rsidRDefault="00D66252" w:rsidP="004A0FEA">
                  <w:pPr>
                    <w:jc w:val="both"/>
                    <w:rPr>
                      <w:rFonts w:ascii="Arial" w:hAnsi="Arial" w:cs="Arial"/>
                      <w:bCs/>
                      <w:color w:val="000000" w:themeColor="text1"/>
                      <w:sz w:val="20"/>
                      <w:szCs w:val="20"/>
                    </w:rPr>
                  </w:pPr>
                </w:p>
              </w:tc>
            </w:tr>
            <w:tr w:rsidR="00D66252" w:rsidRPr="00D8001D" w14:paraId="050CCFF9" w14:textId="77777777" w:rsidTr="004A0FEA">
              <w:trPr>
                <w:jc w:val="center"/>
              </w:trPr>
              <w:tc>
                <w:tcPr>
                  <w:tcW w:w="2756" w:type="dxa"/>
                  <w:vAlign w:val="center"/>
                </w:tcPr>
                <w:p w14:paraId="3B7C7178" w14:textId="77777777" w:rsidR="00D66252" w:rsidRPr="00D8001D" w:rsidRDefault="00D66252" w:rsidP="004A0FEA">
                  <w:pPr>
                    <w:jc w:val="both"/>
                    <w:rPr>
                      <w:rFonts w:ascii="Arial" w:hAnsi="Arial" w:cs="Arial"/>
                      <w:bCs/>
                      <w:color w:val="000000" w:themeColor="text1"/>
                      <w:sz w:val="20"/>
                      <w:szCs w:val="20"/>
                    </w:rPr>
                  </w:pPr>
                </w:p>
              </w:tc>
              <w:tc>
                <w:tcPr>
                  <w:tcW w:w="2756" w:type="dxa"/>
                  <w:vAlign w:val="center"/>
                </w:tcPr>
                <w:p w14:paraId="3019EE1F" w14:textId="77777777" w:rsidR="00D66252" w:rsidRPr="00D8001D" w:rsidRDefault="00D66252" w:rsidP="004A0FEA">
                  <w:pPr>
                    <w:jc w:val="both"/>
                    <w:rPr>
                      <w:rFonts w:ascii="Arial" w:hAnsi="Arial" w:cs="Arial"/>
                      <w:bCs/>
                      <w:color w:val="000000" w:themeColor="text1"/>
                      <w:sz w:val="20"/>
                      <w:szCs w:val="20"/>
                    </w:rPr>
                  </w:pPr>
                </w:p>
              </w:tc>
              <w:tc>
                <w:tcPr>
                  <w:tcW w:w="3305" w:type="dxa"/>
                  <w:vAlign w:val="center"/>
                </w:tcPr>
                <w:p w14:paraId="6DD0F9D2" w14:textId="77777777" w:rsidR="00D66252" w:rsidRPr="00D8001D" w:rsidRDefault="00D66252" w:rsidP="004A0FEA">
                  <w:pPr>
                    <w:jc w:val="both"/>
                    <w:rPr>
                      <w:rFonts w:ascii="Arial" w:hAnsi="Arial" w:cs="Arial"/>
                      <w:bCs/>
                      <w:color w:val="000000" w:themeColor="text1"/>
                      <w:sz w:val="20"/>
                      <w:szCs w:val="20"/>
                    </w:rPr>
                  </w:pPr>
                </w:p>
              </w:tc>
            </w:tr>
            <w:tr w:rsidR="00D66252" w:rsidRPr="00D8001D" w14:paraId="01F0BD63" w14:textId="77777777" w:rsidTr="004A0FEA">
              <w:trPr>
                <w:jc w:val="center"/>
              </w:trPr>
              <w:tc>
                <w:tcPr>
                  <w:tcW w:w="2756" w:type="dxa"/>
                  <w:vAlign w:val="center"/>
                </w:tcPr>
                <w:p w14:paraId="57933F79" w14:textId="77777777" w:rsidR="00D66252" w:rsidRPr="00D8001D" w:rsidRDefault="00D66252" w:rsidP="004A0FEA">
                  <w:pPr>
                    <w:jc w:val="both"/>
                    <w:rPr>
                      <w:rFonts w:ascii="Arial" w:hAnsi="Arial" w:cs="Arial"/>
                      <w:bCs/>
                      <w:color w:val="000000" w:themeColor="text1"/>
                      <w:sz w:val="20"/>
                      <w:szCs w:val="20"/>
                    </w:rPr>
                  </w:pPr>
                </w:p>
              </w:tc>
              <w:tc>
                <w:tcPr>
                  <w:tcW w:w="2756" w:type="dxa"/>
                  <w:vAlign w:val="center"/>
                </w:tcPr>
                <w:p w14:paraId="46F6F1C1" w14:textId="77777777" w:rsidR="00D66252" w:rsidRPr="00D8001D" w:rsidRDefault="00D66252" w:rsidP="004A0FEA">
                  <w:pPr>
                    <w:jc w:val="both"/>
                    <w:rPr>
                      <w:rFonts w:ascii="Arial" w:hAnsi="Arial" w:cs="Arial"/>
                      <w:bCs/>
                      <w:color w:val="000000" w:themeColor="text1"/>
                      <w:sz w:val="20"/>
                      <w:szCs w:val="20"/>
                    </w:rPr>
                  </w:pPr>
                </w:p>
              </w:tc>
              <w:tc>
                <w:tcPr>
                  <w:tcW w:w="3305" w:type="dxa"/>
                  <w:vAlign w:val="center"/>
                </w:tcPr>
                <w:p w14:paraId="0AA54911" w14:textId="77777777" w:rsidR="00D66252" w:rsidRPr="00D8001D" w:rsidRDefault="00D66252" w:rsidP="004A0FEA">
                  <w:pPr>
                    <w:jc w:val="both"/>
                    <w:rPr>
                      <w:rFonts w:ascii="Arial" w:hAnsi="Arial" w:cs="Arial"/>
                      <w:bCs/>
                      <w:color w:val="000000" w:themeColor="text1"/>
                      <w:sz w:val="20"/>
                      <w:szCs w:val="20"/>
                    </w:rPr>
                  </w:pPr>
                </w:p>
              </w:tc>
            </w:tr>
          </w:tbl>
          <w:p w14:paraId="0B9E38E3" w14:textId="77777777" w:rsidR="00D66252" w:rsidRPr="00D8001D" w:rsidRDefault="00D66252" w:rsidP="004A0FEA">
            <w:pPr>
              <w:jc w:val="both"/>
              <w:rPr>
                <w:rFonts w:ascii="Arial" w:hAnsi="Arial" w:cs="Arial"/>
                <w:bCs/>
                <w:color w:val="000000" w:themeColor="text1"/>
                <w:sz w:val="20"/>
                <w:szCs w:val="20"/>
              </w:rPr>
            </w:pPr>
          </w:p>
        </w:tc>
      </w:tr>
    </w:tbl>
    <w:p w14:paraId="233E3E30" w14:textId="77777777" w:rsidR="00D66252" w:rsidRPr="00D8001D" w:rsidRDefault="00D66252" w:rsidP="00D66252">
      <w:pPr>
        <w:spacing w:after="120" w:line="276" w:lineRule="auto"/>
        <w:ind w:left="357"/>
        <w:jc w:val="both"/>
        <w:rPr>
          <w:rFonts w:ascii="Arial" w:hAnsi="Arial" w:cs="Arial"/>
          <w:bCs/>
          <w:color w:val="000000" w:themeColor="text1"/>
          <w:sz w:val="20"/>
          <w:szCs w:val="20"/>
        </w:rPr>
      </w:pPr>
    </w:p>
    <w:p w14:paraId="25E48D88" w14:textId="77777777" w:rsidR="00D66252" w:rsidRPr="00D8001D" w:rsidRDefault="00D66252" w:rsidP="00D6625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In quale percentuale il fatturato annuo per contratti di fornitura di energia elettrica deriva da contratti stipulati con la PA?</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12C45A17" w14:textId="77777777" w:rsidTr="004A1637">
        <w:trPr>
          <w:trHeight w:val="1824"/>
        </w:trPr>
        <w:tc>
          <w:tcPr>
            <w:tcW w:w="8642" w:type="dxa"/>
            <w:shd w:val="clear" w:color="auto" w:fill="F2F2F2" w:themeFill="background1" w:themeFillShade="F2"/>
          </w:tcPr>
          <w:p w14:paraId="4C1668EE" w14:textId="77777777" w:rsidR="00D66252" w:rsidRPr="00D8001D" w:rsidRDefault="00D66252" w:rsidP="004A0FEA">
            <w:pPr>
              <w:jc w:val="both"/>
              <w:rPr>
                <w:rFonts w:ascii="Arial" w:hAnsi="Arial" w:cs="Arial"/>
                <w:bCs/>
                <w:color w:val="000000" w:themeColor="text1"/>
                <w:sz w:val="20"/>
                <w:szCs w:val="20"/>
              </w:rPr>
            </w:pPr>
          </w:p>
        </w:tc>
      </w:tr>
    </w:tbl>
    <w:p w14:paraId="11C0DFDA" w14:textId="77777777" w:rsidR="00D66252" w:rsidRPr="00D8001D" w:rsidRDefault="00D66252" w:rsidP="00D66252">
      <w:pPr>
        <w:spacing w:after="120" w:line="276" w:lineRule="auto"/>
        <w:ind w:left="357"/>
        <w:jc w:val="both"/>
        <w:rPr>
          <w:rFonts w:ascii="Arial" w:hAnsi="Arial" w:cs="Arial"/>
          <w:bCs/>
          <w:color w:val="000000" w:themeColor="text1"/>
          <w:sz w:val="20"/>
          <w:szCs w:val="20"/>
        </w:rPr>
      </w:pPr>
    </w:p>
    <w:p w14:paraId="2F586A37" w14:textId="77777777" w:rsidR="00D66252" w:rsidRPr="00D8001D" w:rsidRDefault="00D66252" w:rsidP="00D6625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Indicare il numero di dipendenti dell’azienda nei tre anni precedenti alla pubblicazione del presente Documento di consultazione del mercato.</w:t>
      </w:r>
    </w:p>
    <w:tbl>
      <w:tblPr>
        <w:tblStyle w:val="Grigliatabella"/>
        <w:tblpPr w:leftFromText="141" w:rightFromText="141" w:vertAnchor="text" w:horzAnchor="margin" w:tblpY="78"/>
        <w:tblOverlap w:val="never"/>
        <w:tblW w:w="8642" w:type="dxa"/>
        <w:shd w:val="clear" w:color="auto" w:fill="F2F2F2" w:themeFill="background1" w:themeFillShade="F2"/>
        <w:tblLook w:val="04A0" w:firstRow="1" w:lastRow="0" w:firstColumn="1" w:lastColumn="0" w:noHBand="0" w:noVBand="1"/>
      </w:tblPr>
      <w:tblGrid>
        <w:gridCol w:w="3968"/>
        <w:gridCol w:w="4674"/>
      </w:tblGrid>
      <w:tr w:rsidR="000D5B3E" w:rsidRPr="00D8001D" w14:paraId="267C7877" w14:textId="77777777" w:rsidTr="00A004CC">
        <w:tc>
          <w:tcPr>
            <w:tcW w:w="2296" w:type="pct"/>
            <w:shd w:val="clear" w:color="auto" w:fill="F2F2F2" w:themeFill="background1" w:themeFillShade="F2"/>
          </w:tcPr>
          <w:p w14:paraId="14E4173D" w14:textId="77777777" w:rsidR="000D5B3E" w:rsidRPr="00D8001D" w:rsidRDefault="000D5B3E" w:rsidP="000D5B3E">
            <w:pPr>
              <w:ind w:left="-226"/>
              <w:jc w:val="center"/>
              <w:rPr>
                <w:rFonts w:ascii="Arial" w:hAnsi="Arial" w:cs="Arial"/>
                <w:bCs/>
                <w:color w:val="000000" w:themeColor="text1"/>
                <w:sz w:val="20"/>
                <w:szCs w:val="20"/>
              </w:rPr>
            </w:pPr>
            <w:r w:rsidRPr="00D8001D">
              <w:rPr>
                <w:rFonts w:ascii="Arial" w:hAnsi="Arial" w:cs="Arial"/>
                <w:bCs/>
                <w:color w:val="000000" w:themeColor="text1"/>
                <w:sz w:val="20"/>
                <w:szCs w:val="20"/>
              </w:rPr>
              <w:t>Anno</w:t>
            </w:r>
          </w:p>
        </w:tc>
        <w:tc>
          <w:tcPr>
            <w:tcW w:w="2704" w:type="pct"/>
            <w:shd w:val="clear" w:color="auto" w:fill="F2F2F2" w:themeFill="background1" w:themeFillShade="F2"/>
          </w:tcPr>
          <w:p w14:paraId="0D5C3C28" w14:textId="77777777" w:rsidR="000D5B3E" w:rsidRPr="00D8001D" w:rsidRDefault="000D5B3E" w:rsidP="000D5B3E">
            <w:pPr>
              <w:ind w:left="-226"/>
              <w:jc w:val="center"/>
              <w:rPr>
                <w:rFonts w:ascii="Arial" w:hAnsi="Arial" w:cs="Arial"/>
                <w:bCs/>
                <w:color w:val="000000" w:themeColor="text1"/>
                <w:sz w:val="20"/>
                <w:szCs w:val="20"/>
              </w:rPr>
            </w:pPr>
            <w:r w:rsidRPr="00D8001D">
              <w:rPr>
                <w:rFonts w:ascii="Arial" w:hAnsi="Arial" w:cs="Arial"/>
                <w:bCs/>
                <w:color w:val="000000" w:themeColor="text1"/>
                <w:sz w:val="20"/>
                <w:szCs w:val="20"/>
              </w:rPr>
              <w:t>Numero dipendenti</w:t>
            </w:r>
          </w:p>
        </w:tc>
      </w:tr>
      <w:tr w:rsidR="000D5B3E" w:rsidRPr="00D8001D" w14:paraId="58A412A2" w14:textId="77777777" w:rsidTr="00A004CC">
        <w:tc>
          <w:tcPr>
            <w:tcW w:w="2296" w:type="pct"/>
            <w:shd w:val="clear" w:color="auto" w:fill="F2F2F2" w:themeFill="background1" w:themeFillShade="F2"/>
          </w:tcPr>
          <w:p w14:paraId="10262DF9" w14:textId="77777777" w:rsidR="000D5B3E" w:rsidRPr="00D8001D" w:rsidRDefault="000D5B3E" w:rsidP="000D5B3E">
            <w:pPr>
              <w:ind w:left="-226"/>
              <w:jc w:val="both"/>
              <w:rPr>
                <w:rFonts w:ascii="Arial" w:hAnsi="Arial" w:cs="Arial"/>
                <w:bCs/>
                <w:color w:val="000000" w:themeColor="text1"/>
                <w:sz w:val="20"/>
                <w:szCs w:val="20"/>
              </w:rPr>
            </w:pPr>
          </w:p>
        </w:tc>
        <w:tc>
          <w:tcPr>
            <w:tcW w:w="2704" w:type="pct"/>
            <w:shd w:val="clear" w:color="auto" w:fill="F2F2F2" w:themeFill="background1" w:themeFillShade="F2"/>
          </w:tcPr>
          <w:p w14:paraId="23BE5A8A" w14:textId="77777777" w:rsidR="000D5B3E" w:rsidRPr="00D8001D" w:rsidRDefault="000D5B3E" w:rsidP="000D5B3E">
            <w:pPr>
              <w:ind w:left="-226"/>
              <w:jc w:val="both"/>
              <w:rPr>
                <w:rFonts w:ascii="Arial" w:hAnsi="Arial" w:cs="Arial"/>
                <w:bCs/>
                <w:color w:val="000000" w:themeColor="text1"/>
                <w:sz w:val="20"/>
                <w:szCs w:val="20"/>
              </w:rPr>
            </w:pPr>
          </w:p>
        </w:tc>
      </w:tr>
      <w:tr w:rsidR="000D5B3E" w:rsidRPr="00D8001D" w14:paraId="0F676B04" w14:textId="77777777" w:rsidTr="00A004CC">
        <w:tc>
          <w:tcPr>
            <w:tcW w:w="2296" w:type="pct"/>
            <w:shd w:val="clear" w:color="auto" w:fill="F2F2F2" w:themeFill="background1" w:themeFillShade="F2"/>
          </w:tcPr>
          <w:p w14:paraId="296BBB07" w14:textId="77777777" w:rsidR="000D5B3E" w:rsidRPr="00D8001D" w:rsidRDefault="000D5B3E" w:rsidP="000D5B3E">
            <w:pPr>
              <w:ind w:left="-226"/>
              <w:jc w:val="both"/>
              <w:rPr>
                <w:rFonts w:ascii="Arial" w:hAnsi="Arial" w:cs="Arial"/>
                <w:bCs/>
                <w:color w:val="000000" w:themeColor="text1"/>
                <w:sz w:val="20"/>
                <w:szCs w:val="20"/>
              </w:rPr>
            </w:pPr>
          </w:p>
        </w:tc>
        <w:tc>
          <w:tcPr>
            <w:tcW w:w="2704" w:type="pct"/>
            <w:shd w:val="clear" w:color="auto" w:fill="F2F2F2" w:themeFill="background1" w:themeFillShade="F2"/>
          </w:tcPr>
          <w:p w14:paraId="24F2BDC8" w14:textId="77777777" w:rsidR="000D5B3E" w:rsidRPr="00D8001D" w:rsidRDefault="000D5B3E" w:rsidP="000D5B3E">
            <w:pPr>
              <w:ind w:left="-226"/>
              <w:jc w:val="both"/>
              <w:rPr>
                <w:rFonts w:ascii="Arial" w:hAnsi="Arial" w:cs="Arial"/>
                <w:bCs/>
                <w:color w:val="000000" w:themeColor="text1"/>
                <w:sz w:val="20"/>
                <w:szCs w:val="20"/>
              </w:rPr>
            </w:pPr>
          </w:p>
        </w:tc>
      </w:tr>
      <w:tr w:rsidR="000D5B3E" w:rsidRPr="00D8001D" w14:paraId="63C5F078" w14:textId="77777777" w:rsidTr="00A004CC">
        <w:tc>
          <w:tcPr>
            <w:tcW w:w="2296" w:type="pct"/>
            <w:shd w:val="clear" w:color="auto" w:fill="F2F2F2" w:themeFill="background1" w:themeFillShade="F2"/>
          </w:tcPr>
          <w:p w14:paraId="0D812543" w14:textId="77777777" w:rsidR="000D5B3E" w:rsidRPr="00D8001D" w:rsidRDefault="000D5B3E" w:rsidP="000D5B3E">
            <w:pPr>
              <w:ind w:left="-226"/>
              <w:jc w:val="both"/>
              <w:rPr>
                <w:rFonts w:ascii="Arial" w:hAnsi="Arial" w:cs="Arial"/>
                <w:bCs/>
                <w:color w:val="000000" w:themeColor="text1"/>
                <w:sz w:val="20"/>
                <w:szCs w:val="20"/>
              </w:rPr>
            </w:pPr>
          </w:p>
        </w:tc>
        <w:tc>
          <w:tcPr>
            <w:tcW w:w="2704" w:type="pct"/>
            <w:shd w:val="clear" w:color="auto" w:fill="F2F2F2" w:themeFill="background1" w:themeFillShade="F2"/>
          </w:tcPr>
          <w:p w14:paraId="2E7F46A5" w14:textId="77777777" w:rsidR="000D5B3E" w:rsidRPr="00D8001D" w:rsidRDefault="000D5B3E" w:rsidP="000D5B3E">
            <w:pPr>
              <w:ind w:left="-226"/>
              <w:jc w:val="both"/>
              <w:rPr>
                <w:rFonts w:ascii="Arial" w:hAnsi="Arial" w:cs="Arial"/>
                <w:bCs/>
                <w:color w:val="000000" w:themeColor="text1"/>
                <w:sz w:val="20"/>
                <w:szCs w:val="20"/>
              </w:rPr>
            </w:pPr>
          </w:p>
        </w:tc>
      </w:tr>
      <w:tr w:rsidR="000D5B3E" w:rsidRPr="00D8001D" w14:paraId="586B25AB" w14:textId="77777777" w:rsidTr="00A004CC">
        <w:tc>
          <w:tcPr>
            <w:tcW w:w="2296" w:type="pct"/>
            <w:shd w:val="clear" w:color="auto" w:fill="F2F2F2" w:themeFill="background1" w:themeFillShade="F2"/>
          </w:tcPr>
          <w:p w14:paraId="3BA72534" w14:textId="77777777" w:rsidR="000D5B3E" w:rsidRPr="00D8001D" w:rsidRDefault="000D5B3E" w:rsidP="000D5B3E">
            <w:pPr>
              <w:ind w:left="-226"/>
              <w:jc w:val="both"/>
              <w:rPr>
                <w:rFonts w:ascii="Arial" w:hAnsi="Arial" w:cs="Arial"/>
                <w:bCs/>
                <w:color w:val="000000" w:themeColor="text1"/>
                <w:sz w:val="20"/>
                <w:szCs w:val="20"/>
              </w:rPr>
            </w:pPr>
          </w:p>
        </w:tc>
        <w:tc>
          <w:tcPr>
            <w:tcW w:w="2704" w:type="pct"/>
            <w:shd w:val="clear" w:color="auto" w:fill="F2F2F2" w:themeFill="background1" w:themeFillShade="F2"/>
          </w:tcPr>
          <w:p w14:paraId="164B0E2A" w14:textId="77777777" w:rsidR="000D5B3E" w:rsidRPr="00D8001D" w:rsidRDefault="000D5B3E" w:rsidP="000D5B3E">
            <w:pPr>
              <w:ind w:left="-226"/>
              <w:jc w:val="both"/>
              <w:rPr>
                <w:rFonts w:ascii="Arial" w:hAnsi="Arial" w:cs="Arial"/>
                <w:bCs/>
                <w:color w:val="000000" w:themeColor="text1"/>
                <w:sz w:val="20"/>
                <w:szCs w:val="20"/>
              </w:rPr>
            </w:pPr>
          </w:p>
        </w:tc>
      </w:tr>
      <w:tr w:rsidR="000D5B3E" w:rsidRPr="00D8001D" w14:paraId="08CA511A" w14:textId="77777777" w:rsidTr="00A004CC">
        <w:tc>
          <w:tcPr>
            <w:tcW w:w="2296" w:type="pct"/>
            <w:shd w:val="clear" w:color="auto" w:fill="F2F2F2" w:themeFill="background1" w:themeFillShade="F2"/>
          </w:tcPr>
          <w:p w14:paraId="2190E4BE" w14:textId="77777777" w:rsidR="000D5B3E" w:rsidRPr="00D8001D" w:rsidRDefault="000D5B3E" w:rsidP="000D5B3E">
            <w:pPr>
              <w:ind w:left="-226"/>
              <w:jc w:val="both"/>
              <w:rPr>
                <w:rFonts w:ascii="Arial" w:hAnsi="Arial" w:cs="Arial"/>
                <w:bCs/>
                <w:color w:val="000000" w:themeColor="text1"/>
                <w:sz w:val="20"/>
                <w:szCs w:val="20"/>
              </w:rPr>
            </w:pPr>
          </w:p>
        </w:tc>
        <w:tc>
          <w:tcPr>
            <w:tcW w:w="2704" w:type="pct"/>
            <w:shd w:val="clear" w:color="auto" w:fill="F2F2F2" w:themeFill="background1" w:themeFillShade="F2"/>
          </w:tcPr>
          <w:p w14:paraId="4EA41BC6" w14:textId="77777777" w:rsidR="000D5B3E" w:rsidRPr="00D8001D" w:rsidRDefault="000D5B3E" w:rsidP="000D5B3E">
            <w:pPr>
              <w:ind w:left="-226"/>
              <w:jc w:val="both"/>
              <w:rPr>
                <w:rFonts w:ascii="Arial" w:hAnsi="Arial" w:cs="Arial"/>
                <w:bCs/>
                <w:color w:val="000000" w:themeColor="text1"/>
                <w:sz w:val="20"/>
                <w:szCs w:val="20"/>
              </w:rPr>
            </w:pPr>
          </w:p>
        </w:tc>
      </w:tr>
    </w:tbl>
    <w:p w14:paraId="1E16F36C" w14:textId="77777777" w:rsidR="00D66252" w:rsidRPr="00D8001D" w:rsidRDefault="00D66252" w:rsidP="00D66252">
      <w:pPr>
        <w:spacing w:after="120" w:line="276" w:lineRule="auto"/>
        <w:ind w:left="357"/>
        <w:jc w:val="both"/>
        <w:rPr>
          <w:rFonts w:ascii="Arial" w:hAnsi="Arial" w:cs="Arial"/>
          <w:bCs/>
          <w:color w:val="000000" w:themeColor="text1"/>
          <w:sz w:val="20"/>
          <w:szCs w:val="20"/>
        </w:rPr>
      </w:pPr>
    </w:p>
    <w:p w14:paraId="71854AC0" w14:textId="77777777" w:rsidR="00D66252" w:rsidRPr="00D8001D" w:rsidRDefault="00D66252" w:rsidP="00D66252">
      <w:pPr>
        <w:numPr>
          <w:ilvl w:val="0"/>
          <w:numId w:val="4"/>
        </w:numPr>
        <w:spacing w:after="120" w:line="276" w:lineRule="auto"/>
        <w:ind w:left="357"/>
        <w:jc w:val="both"/>
        <w:rPr>
          <w:rFonts w:ascii="Arial" w:hAnsi="Arial" w:cs="Arial"/>
          <w:bCs/>
          <w:color w:val="000000" w:themeColor="text1"/>
          <w:sz w:val="20"/>
          <w:szCs w:val="20"/>
        </w:rPr>
      </w:pPr>
      <w:r w:rsidRPr="00D8001D">
        <w:rPr>
          <w:rFonts w:ascii="Arial" w:hAnsi="Arial" w:cs="Arial"/>
          <w:bCs/>
          <w:color w:val="000000" w:themeColor="text1"/>
          <w:sz w:val="20"/>
          <w:szCs w:val="20"/>
        </w:rPr>
        <w:t>La legge 4 agosto 2017, n.124 ha introdotto l’elenco dei soggetti abilitati alla vendita di energia elettrica ai clienti finali, c.d. “EVE”, disciplinato dal Regolamento adottato dal Ministro della transizione ecologica del 25 agosto 2022, n. 164. L’iscrizione e la permanenza nell’EVE sono condizione necessaria per lo svolgimento delle attività di vendita di energia elettrica ai clienti finali. La vostra azienda risulta iscritta a tale elenco?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6B4414A1" w14:textId="77777777" w:rsidTr="004A1637">
        <w:trPr>
          <w:trHeight w:val="1824"/>
        </w:trPr>
        <w:tc>
          <w:tcPr>
            <w:tcW w:w="8642" w:type="dxa"/>
            <w:shd w:val="clear" w:color="auto" w:fill="F2F2F2" w:themeFill="background1" w:themeFillShade="F2"/>
          </w:tcPr>
          <w:p w14:paraId="2191A3C2" w14:textId="77777777" w:rsidR="00D66252" w:rsidRPr="00D8001D" w:rsidRDefault="00D66252" w:rsidP="004A0FEA">
            <w:pPr>
              <w:jc w:val="both"/>
              <w:rPr>
                <w:rFonts w:ascii="Arial" w:hAnsi="Arial" w:cs="Arial"/>
                <w:bCs/>
                <w:color w:val="000000" w:themeColor="text1"/>
                <w:sz w:val="20"/>
                <w:szCs w:val="20"/>
              </w:rPr>
            </w:pPr>
          </w:p>
        </w:tc>
      </w:tr>
    </w:tbl>
    <w:p w14:paraId="2DD84572" w14:textId="77777777" w:rsidR="00D66252" w:rsidRPr="00D8001D" w:rsidRDefault="00D66252" w:rsidP="00D66252">
      <w:pPr>
        <w:spacing w:after="120" w:line="276" w:lineRule="auto"/>
        <w:ind w:left="357"/>
        <w:jc w:val="both"/>
        <w:rPr>
          <w:rFonts w:ascii="Arial" w:hAnsi="Arial" w:cs="Arial"/>
          <w:bCs/>
          <w:color w:val="000000" w:themeColor="text1"/>
          <w:sz w:val="20"/>
          <w:szCs w:val="20"/>
          <w:highlight w:val="yellow"/>
        </w:rPr>
      </w:pPr>
    </w:p>
    <w:p w14:paraId="1AF659F4" w14:textId="3B74F37A" w:rsidR="00AC002E" w:rsidRPr="00A66E7D" w:rsidRDefault="00D66252" w:rsidP="006479E1">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 xml:space="preserve">Qual è la vostra opinione sull’attuale scenario che sta caratterizzando i mercati energetici? Secondo le vostre previsioni i livelli di </w:t>
      </w:r>
      <w:r w:rsidRPr="00D8001D">
        <w:rPr>
          <w:rFonts w:ascii="Arial" w:hAnsi="Arial" w:cs="Arial"/>
          <w:bCs/>
          <w:i/>
          <w:color w:val="000000" w:themeColor="text1"/>
          <w:sz w:val="20"/>
          <w:szCs w:val="20"/>
        </w:rPr>
        <w:t>pricing</w:t>
      </w:r>
      <w:r w:rsidRPr="00D8001D">
        <w:rPr>
          <w:rFonts w:ascii="Arial" w:hAnsi="Arial" w:cs="Arial"/>
          <w:bCs/>
          <w:color w:val="000000" w:themeColor="text1"/>
          <w:sz w:val="20"/>
          <w:szCs w:val="20"/>
        </w:rPr>
        <w:t xml:space="preserve"> possono considerarsi stabili?</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AC002E" w:rsidRPr="00D8001D" w14:paraId="3FBC93B9" w14:textId="77777777" w:rsidTr="00CD6B14">
        <w:trPr>
          <w:trHeight w:val="1824"/>
        </w:trPr>
        <w:tc>
          <w:tcPr>
            <w:tcW w:w="8642" w:type="dxa"/>
            <w:shd w:val="clear" w:color="auto" w:fill="F2F2F2" w:themeFill="background1" w:themeFillShade="F2"/>
          </w:tcPr>
          <w:p w14:paraId="77E5A374" w14:textId="77777777" w:rsidR="00AC002E" w:rsidRPr="00D8001D" w:rsidRDefault="00AC002E" w:rsidP="00CD6B14">
            <w:pPr>
              <w:jc w:val="both"/>
              <w:rPr>
                <w:rFonts w:ascii="Arial" w:hAnsi="Arial" w:cs="Arial"/>
                <w:bCs/>
                <w:color w:val="000000" w:themeColor="text1"/>
                <w:sz w:val="20"/>
                <w:szCs w:val="20"/>
              </w:rPr>
            </w:pPr>
          </w:p>
        </w:tc>
      </w:tr>
    </w:tbl>
    <w:p w14:paraId="3E38EACB" w14:textId="77777777" w:rsidR="00AC002E" w:rsidRPr="00AC002E" w:rsidRDefault="00AC002E" w:rsidP="00AC002E">
      <w:pPr>
        <w:spacing w:after="120" w:line="276" w:lineRule="auto"/>
        <w:ind w:left="357"/>
        <w:jc w:val="both"/>
        <w:rPr>
          <w:rFonts w:ascii="Arial" w:hAnsi="Arial" w:cs="Arial"/>
          <w:bCs/>
          <w:color w:val="000000" w:themeColor="text1"/>
          <w:sz w:val="20"/>
          <w:szCs w:val="20"/>
        </w:rPr>
      </w:pPr>
    </w:p>
    <w:p w14:paraId="7BE5CFE5" w14:textId="6563DD98" w:rsidR="00AC002E" w:rsidRPr="00D8001D" w:rsidRDefault="00AC002E" w:rsidP="00AC002E">
      <w:pPr>
        <w:numPr>
          <w:ilvl w:val="0"/>
          <w:numId w:val="4"/>
        </w:numPr>
        <w:spacing w:after="120" w:line="276" w:lineRule="auto"/>
        <w:ind w:left="284" w:hanging="357"/>
        <w:jc w:val="both"/>
        <w:rPr>
          <w:rFonts w:ascii="Arial" w:hAnsi="Arial" w:cs="Arial"/>
          <w:bCs/>
          <w:color w:val="000000" w:themeColor="text1"/>
          <w:sz w:val="20"/>
          <w:szCs w:val="20"/>
        </w:rPr>
      </w:pPr>
      <w:r w:rsidRPr="00CD6B14">
        <w:rPr>
          <w:rFonts w:ascii="Arial" w:hAnsi="Arial" w:cs="Arial"/>
          <w:bCs/>
          <w:color w:val="000000" w:themeColor="text1"/>
          <w:sz w:val="20"/>
          <w:szCs w:val="20"/>
        </w:rPr>
        <w:t>Qualora l</w:t>
      </w:r>
      <w:r>
        <w:rPr>
          <w:rFonts w:ascii="Arial" w:hAnsi="Arial" w:cs="Arial"/>
          <w:bCs/>
          <w:color w:val="000000" w:themeColor="text1"/>
          <w:sz w:val="20"/>
          <w:szCs w:val="20"/>
        </w:rPr>
        <w:t>’</w:t>
      </w:r>
      <w:r w:rsidRPr="00CD6B14">
        <w:rPr>
          <w:rFonts w:ascii="Arial" w:hAnsi="Arial" w:cs="Arial"/>
          <w:bCs/>
          <w:color w:val="000000" w:themeColor="text1"/>
          <w:sz w:val="20"/>
          <w:szCs w:val="20"/>
        </w:rPr>
        <w:t>attuale situazione geo-politica dovesse protrarsi, quali pensate possano essere i rischi maggiori connessi alla partecipazione all’iniziativa e quali potrebbero essere gli elementi contrattuali che potrebbero mitigare la situazione?</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1132AA4A" w14:textId="77777777" w:rsidTr="004A1637">
        <w:trPr>
          <w:trHeight w:val="1824"/>
        </w:trPr>
        <w:tc>
          <w:tcPr>
            <w:tcW w:w="8642" w:type="dxa"/>
            <w:shd w:val="clear" w:color="auto" w:fill="F2F2F2" w:themeFill="background1" w:themeFillShade="F2"/>
          </w:tcPr>
          <w:p w14:paraId="0B748C2F" w14:textId="77777777" w:rsidR="00D66252" w:rsidRPr="00D8001D" w:rsidRDefault="00D66252" w:rsidP="004A0FEA">
            <w:pPr>
              <w:jc w:val="both"/>
              <w:rPr>
                <w:rFonts w:ascii="Arial" w:hAnsi="Arial" w:cs="Arial"/>
                <w:bCs/>
                <w:color w:val="000000" w:themeColor="text1"/>
                <w:sz w:val="20"/>
                <w:szCs w:val="20"/>
              </w:rPr>
            </w:pPr>
            <w:bookmarkStart w:id="0" w:name="_Hlk191891410"/>
          </w:p>
        </w:tc>
      </w:tr>
      <w:bookmarkEnd w:id="0"/>
    </w:tbl>
    <w:p w14:paraId="4AA2DA7C" w14:textId="6DB9935A" w:rsidR="00F33D5F" w:rsidRPr="00F3251A" w:rsidRDefault="00F33D5F" w:rsidP="00F3251A">
      <w:pPr>
        <w:spacing w:after="120" w:line="276" w:lineRule="auto"/>
        <w:ind w:left="284"/>
        <w:jc w:val="both"/>
        <w:rPr>
          <w:rFonts w:ascii="Arial" w:hAnsi="Arial" w:cs="Arial"/>
          <w:bCs/>
          <w:color w:val="000000" w:themeColor="text1"/>
          <w:sz w:val="20"/>
          <w:szCs w:val="20"/>
        </w:rPr>
      </w:pPr>
    </w:p>
    <w:p w14:paraId="7F8D848E" w14:textId="27CE23C6" w:rsidR="00F3251A" w:rsidRPr="00122DD1" w:rsidRDefault="00F3251A" w:rsidP="00F3251A">
      <w:pPr>
        <w:numPr>
          <w:ilvl w:val="0"/>
          <w:numId w:val="4"/>
        </w:numPr>
        <w:spacing w:after="120" w:line="276" w:lineRule="auto"/>
        <w:ind w:left="284" w:hanging="357"/>
        <w:jc w:val="both"/>
        <w:rPr>
          <w:rFonts w:ascii="Arial" w:hAnsi="Arial" w:cs="Arial"/>
          <w:bCs/>
          <w:color w:val="000000" w:themeColor="text1"/>
          <w:sz w:val="20"/>
          <w:szCs w:val="20"/>
        </w:rPr>
      </w:pPr>
      <w:r w:rsidRPr="00122DD1">
        <w:rPr>
          <w:rFonts w:ascii="Arial" w:hAnsi="Arial" w:cs="Arial"/>
          <w:bCs/>
          <w:color w:val="000000" w:themeColor="text1"/>
          <w:sz w:val="20"/>
          <w:szCs w:val="20"/>
        </w:rPr>
        <w:t>Qualora l’attuale situazione geo-politica dovesse protrarsi e degenerare, quali pensate possano essere le condizioni per garantire la continuità della fornitura</w:t>
      </w:r>
      <w:r w:rsidR="000C7316" w:rsidRPr="00122DD1">
        <w:rPr>
          <w:rFonts w:ascii="Arial" w:hAnsi="Arial" w:cs="Arial"/>
          <w:bCs/>
          <w:color w:val="000000" w:themeColor="text1"/>
          <w:sz w:val="20"/>
          <w:szCs w:val="20"/>
        </w:rPr>
        <w:t xml:space="preserve"> alle PA</w:t>
      </w:r>
      <w:r w:rsidR="00623FAF" w:rsidRPr="00122DD1">
        <w:rPr>
          <w:rFonts w:ascii="Arial" w:hAnsi="Arial" w:cs="Arial"/>
          <w:bCs/>
          <w:color w:val="000000" w:themeColor="text1"/>
          <w:sz w:val="20"/>
          <w:szCs w:val="20"/>
        </w:rPr>
        <w:t xml:space="preserve"> </w:t>
      </w:r>
      <w:r w:rsidR="00D14B8E" w:rsidRPr="00122DD1">
        <w:rPr>
          <w:rFonts w:ascii="Arial" w:hAnsi="Arial" w:cs="Arial"/>
          <w:bCs/>
          <w:color w:val="000000" w:themeColor="text1"/>
          <w:sz w:val="20"/>
          <w:szCs w:val="20"/>
        </w:rPr>
        <w:t>a condizioni economiche favorevoli per entrambe le parti</w:t>
      </w:r>
      <w:r w:rsidRPr="00122DD1">
        <w:rPr>
          <w:rFonts w:ascii="Arial" w:hAnsi="Arial" w:cs="Arial"/>
          <w:bCs/>
          <w:color w:val="000000" w:themeColor="text1"/>
          <w:sz w:val="20"/>
          <w:szCs w:val="20"/>
        </w:rPr>
        <w:t>?</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F3251A" w:rsidRPr="00D8001D" w14:paraId="2B20D5E4" w14:textId="77777777" w:rsidTr="00103455">
        <w:trPr>
          <w:trHeight w:val="1824"/>
        </w:trPr>
        <w:tc>
          <w:tcPr>
            <w:tcW w:w="8642" w:type="dxa"/>
            <w:shd w:val="clear" w:color="auto" w:fill="F2F2F2" w:themeFill="background1" w:themeFillShade="F2"/>
          </w:tcPr>
          <w:p w14:paraId="73234527" w14:textId="77777777" w:rsidR="00F3251A" w:rsidRPr="00D8001D" w:rsidRDefault="00F3251A" w:rsidP="00103455">
            <w:pPr>
              <w:jc w:val="both"/>
              <w:rPr>
                <w:rFonts w:ascii="Arial" w:hAnsi="Arial" w:cs="Arial"/>
                <w:bCs/>
                <w:color w:val="000000" w:themeColor="text1"/>
                <w:sz w:val="20"/>
                <w:szCs w:val="20"/>
              </w:rPr>
            </w:pPr>
          </w:p>
        </w:tc>
      </w:tr>
    </w:tbl>
    <w:p w14:paraId="5B6B9675" w14:textId="77777777" w:rsidR="00F3251A" w:rsidRDefault="00F3251A" w:rsidP="00F91074"/>
    <w:p w14:paraId="389FDB9F" w14:textId="77777777" w:rsidR="00D66252" w:rsidRPr="00D8001D" w:rsidRDefault="00D66252" w:rsidP="00D6625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Si prevede di mettere a gara la fornitura di energia elettrica e dei servizi connessi sulla base di differenti lotti geografici. Quali sono le aree del territorio italiano di vostro interesse?</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46E3E24D" w14:textId="77777777" w:rsidTr="004A1637">
        <w:trPr>
          <w:trHeight w:val="1824"/>
        </w:trPr>
        <w:tc>
          <w:tcPr>
            <w:tcW w:w="8642" w:type="dxa"/>
            <w:shd w:val="clear" w:color="auto" w:fill="F2F2F2" w:themeFill="background1" w:themeFillShade="F2"/>
          </w:tcPr>
          <w:p w14:paraId="67B932EF" w14:textId="77777777" w:rsidR="00D66252" w:rsidRPr="00D8001D" w:rsidRDefault="00D66252" w:rsidP="004A0FEA">
            <w:pPr>
              <w:jc w:val="both"/>
              <w:rPr>
                <w:rFonts w:ascii="Arial" w:hAnsi="Arial" w:cs="Arial"/>
                <w:bCs/>
                <w:color w:val="000000" w:themeColor="text1"/>
                <w:sz w:val="20"/>
                <w:szCs w:val="20"/>
              </w:rPr>
            </w:pPr>
          </w:p>
        </w:tc>
      </w:tr>
    </w:tbl>
    <w:p w14:paraId="2F6D77E5" w14:textId="77777777" w:rsidR="00D66252" w:rsidRPr="00D8001D" w:rsidRDefault="00D66252" w:rsidP="00D66252">
      <w:pPr>
        <w:spacing w:after="120" w:line="276" w:lineRule="auto"/>
        <w:ind w:left="357"/>
        <w:jc w:val="both"/>
        <w:rPr>
          <w:rFonts w:ascii="Arial" w:hAnsi="Arial" w:cs="Arial"/>
          <w:bCs/>
          <w:color w:val="000000" w:themeColor="text1"/>
          <w:sz w:val="20"/>
          <w:szCs w:val="20"/>
        </w:rPr>
      </w:pPr>
    </w:p>
    <w:p w14:paraId="159D5074" w14:textId="77777777" w:rsidR="00D66252" w:rsidRPr="00D8001D" w:rsidRDefault="00D66252" w:rsidP="00D6625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 xml:space="preserve">Con riferimento al Bando Consip Energia Elettrica </w:t>
      </w:r>
      <w:r>
        <w:rPr>
          <w:rFonts w:ascii="Arial" w:hAnsi="Arial" w:cs="Arial"/>
          <w:bCs/>
          <w:color w:val="000000" w:themeColor="text1"/>
          <w:sz w:val="20"/>
          <w:szCs w:val="20"/>
        </w:rPr>
        <w:t>(ID 2880)</w:t>
      </w:r>
      <w:r w:rsidRPr="00D8001D">
        <w:rPr>
          <w:rFonts w:ascii="Arial" w:hAnsi="Arial" w:cs="Arial"/>
          <w:bCs/>
          <w:color w:val="000000" w:themeColor="text1"/>
          <w:sz w:val="20"/>
          <w:szCs w:val="20"/>
        </w:rPr>
        <w:t xml:space="preserve"> (www.acquistiretepa.it &gt; Acquista &gt; Convenzioni &gt; Energia Elettrica </w:t>
      </w:r>
      <w:r>
        <w:rPr>
          <w:rFonts w:ascii="Arial" w:hAnsi="Arial" w:cs="Arial"/>
          <w:bCs/>
          <w:color w:val="000000" w:themeColor="text1"/>
          <w:sz w:val="20"/>
          <w:szCs w:val="20"/>
        </w:rPr>
        <w:t>(ID 2880)</w:t>
      </w:r>
      <w:r w:rsidRPr="00D8001D">
        <w:rPr>
          <w:rFonts w:ascii="Arial" w:hAnsi="Arial" w:cs="Arial"/>
          <w:bCs/>
          <w:color w:val="000000" w:themeColor="text1"/>
          <w:sz w:val="20"/>
          <w:szCs w:val="20"/>
        </w:rPr>
        <w:t>, ad oggi quali ritenete siano i pregi e le criticità?</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3B7E70A5" w14:textId="77777777" w:rsidTr="004A1637">
        <w:trPr>
          <w:trHeight w:val="1824"/>
        </w:trPr>
        <w:tc>
          <w:tcPr>
            <w:tcW w:w="8642" w:type="dxa"/>
            <w:shd w:val="clear" w:color="auto" w:fill="F2F2F2" w:themeFill="background1" w:themeFillShade="F2"/>
          </w:tcPr>
          <w:p w14:paraId="4F2437D3" w14:textId="77777777" w:rsidR="00D66252" w:rsidRPr="00D8001D" w:rsidRDefault="00D66252" w:rsidP="004A0FEA">
            <w:pPr>
              <w:jc w:val="both"/>
              <w:rPr>
                <w:rFonts w:ascii="Arial" w:hAnsi="Arial" w:cs="Arial"/>
                <w:bCs/>
                <w:color w:val="000000" w:themeColor="text1"/>
                <w:sz w:val="20"/>
                <w:szCs w:val="20"/>
              </w:rPr>
            </w:pPr>
          </w:p>
        </w:tc>
      </w:tr>
    </w:tbl>
    <w:p w14:paraId="7CB43F5B" w14:textId="77777777" w:rsidR="00D66252" w:rsidRPr="00D8001D" w:rsidRDefault="00D66252" w:rsidP="00D66252">
      <w:pPr>
        <w:spacing w:after="120" w:line="276" w:lineRule="auto"/>
        <w:ind w:left="284"/>
        <w:jc w:val="both"/>
        <w:rPr>
          <w:rFonts w:ascii="Arial" w:hAnsi="Arial" w:cs="Arial"/>
          <w:bCs/>
          <w:color w:val="000000" w:themeColor="text1"/>
          <w:sz w:val="20"/>
          <w:szCs w:val="20"/>
          <w:highlight w:val="yellow"/>
        </w:rPr>
      </w:pPr>
    </w:p>
    <w:p w14:paraId="29EF88F6" w14:textId="77777777" w:rsidR="00D66252" w:rsidRPr="00D8001D" w:rsidRDefault="00D66252" w:rsidP="00D6625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 xml:space="preserve">Per la prossima edizione, ritenete ancora valido/attuale il sistema di </w:t>
      </w:r>
      <w:r w:rsidRPr="00D8001D">
        <w:rPr>
          <w:rFonts w:ascii="Arial" w:hAnsi="Arial" w:cs="Arial"/>
          <w:bCs/>
          <w:i/>
          <w:color w:val="000000" w:themeColor="text1"/>
          <w:sz w:val="20"/>
          <w:szCs w:val="20"/>
        </w:rPr>
        <w:t>pricing</w:t>
      </w:r>
      <w:r w:rsidRPr="00D8001D">
        <w:rPr>
          <w:rFonts w:ascii="Arial" w:hAnsi="Arial" w:cs="Arial"/>
          <w:bCs/>
          <w:color w:val="000000" w:themeColor="text1"/>
          <w:sz w:val="20"/>
          <w:szCs w:val="20"/>
        </w:rPr>
        <w:t xml:space="preserve"> adottato nella precedente edizione della gara (forniture a </w:t>
      </w:r>
      <w:r w:rsidRPr="00D8001D">
        <w:rPr>
          <w:rFonts w:ascii="Arial" w:hAnsi="Arial" w:cs="Arial"/>
          <w:bCs/>
          <w:color w:val="000000" w:themeColor="text1"/>
          <w:sz w:val="20"/>
          <w:szCs w:val="20"/>
          <w:u w:val="single"/>
        </w:rPr>
        <w:t>prezzo variabile 12 e 24 mesi</w:t>
      </w:r>
      <w:r w:rsidRPr="00D8001D">
        <w:rPr>
          <w:rFonts w:ascii="Arial" w:hAnsi="Arial" w:cs="Arial"/>
          <w:bCs/>
          <w:color w:val="000000" w:themeColor="text1"/>
          <w:sz w:val="20"/>
          <w:szCs w:val="20"/>
        </w:rPr>
        <w:t xml:space="preserve">: </w:t>
      </w:r>
      <w:r w:rsidRPr="00D8001D">
        <w:rPr>
          <w:rFonts w:ascii="Arial" w:hAnsi="Arial" w:cs="Arial"/>
          <w:bCs/>
          <w:i/>
          <w:color w:val="000000" w:themeColor="text1"/>
          <w:sz w:val="20"/>
          <w:szCs w:val="20"/>
        </w:rPr>
        <w:t>Prezzo medio di acquisto per fasce orarie del MPE-MGP + spread</w:t>
      </w:r>
      <w:r w:rsidRPr="00D8001D">
        <w:rPr>
          <w:rFonts w:ascii="Arial" w:hAnsi="Arial" w:cs="Arial"/>
          <w:bCs/>
          <w:color w:val="000000" w:themeColor="text1"/>
          <w:sz w:val="20"/>
          <w:szCs w:val="20"/>
        </w:rPr>
        <w:t xml:space="preserve">)? </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15EB326B" w14:textId="77777777" w:rsidTr="004A1637">
        <w:trPr>
          <w:trHeight w:val="1824"/>
        </w:trPr>
        <w:tc>
          <w:tcPr>
            <w:tcW w:w="8642" w:type="dxa"/>
            <w:shd w:val="clear" w:color="auto" w:fill="F2F2F2" w:themeFill="background1" w:themeFillShade="F2"/>
          </w:tcPr>
          <w:p w14:paraId="6566056E" w14:textId="77777777" w:rsidR="00D66252" w:rsidRPr="00D8001D" w:rsidRDefault="00D66252" w:rsidP="004A0FEA">
            <w:pPr>
              <w:jc w:val="both"/>
              <w:rPr>
                <w:rFonts w:ascii="Arial" w:hAnsi="Arial" w:cs="Arial"/>
                <w:bCs/>
                <w:color w:val="000000" w:themeColor="text1"/>
                <w:sz w:val="20"/>
                <w:szCs w:val="20"/>
              </w:rPr>
            </w:pPr>
            <w:bookmarkStart w:id="1" w:name="_Hlk191291118"/>
          </w:p>
        </w:tc>
      </w:tr>
      <w:bookmarkEnd w:id="1"/>
    </w:tbl>
    <w:p w14:paraId="1CC58EDE" w14:textId="77777777" w:rsidR="00BB7BB2" w:rsidRPr="00EA7188" w:rsidRDefault="00BB7BB2" w:rsidP="00BB7BB2">
      <w:pPr>
        <w:spacing w:after="120" w:line="276" w:lineRule="auto"/>
        <w:ind w:left="284"/>
        <w:jc w:val="both"/>
        <w:rPr>
          <w:rFonts w:ascii="Arial" w:hAnsi="Arial" w:cs="Arial"/>
          <w:bCs/>
          <w:color w:val="000000" w:themeColor="text1"/>
          <w:sz w:val="20"/>
          <w:szCs w:val="20"/>
        </w:rPr>
      </w:pPr>
    </w:p>
    <w:p w14:paraId="6206AB6B" w14:textId="77777777" w:rsidR="00BB7BB2" w:rsidRPr="00D8001D" w:rsidRDefault="00BB7BB2" w:rsidP="00BB7BB2">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 xml:space="preserve">In caso di risposte negativa alla domanda n. </w:t>
      </w:r>
      <w:r>
        <w:rPr>
          <w:rFonts w:ascii="Arial" w:hAnsi="Arial" w:cs="Arial"/>
          <w:bCs/>
          <w:color w:val="000000" w:themeColor="text1"/>
          <w:sz w:val="20"/>
          <w:szCs w:val="20"/>
        </w:rPr>
        <w:t>10</w:t>
      </w:r>
      <w:r w:rsidRPr="00D8001D">
        <w:rPr>
          <w:rFonts w:ascii="Arial" w:hAnsi="Arial" w:cs="Arial"/>
          <w:bCs/>
          <w:color w:val="000000" w:themeColor="text1"/>
          <w:sz w:val="20"/>
          <w:szCs w:val="20"/>
        </w:rPr>
        <w:t xml:space="preserve">, quale sistema di </w:t>
      </w:r>
      <w:r w:rsidRPr="00D8001D">
        <w:rPr>
          <w:rFonts w:ascii="Arial" w:hAnsi="Arial" w:cs="Arial"/>
          <w:bCs/>
          <w:i/>
          <w:color w:val="000000" w:themeColor="text1"/>
          <w:sz w:val="20"/>
          <w:szCs w:val="20"/>
        </w:rPr>
        <w:t>pricing</w:t>
      </w:r>
      <w:r w:rsidRPr="00D8001D">
        <w:rPr>
          <w:rFonts w:ascii="Arial" w:hAnsi="Arial" w:cs="Arial"/>
          <w:bCs/>
          <w:color w:val="000000" w:themeColor="text1"/>
          <w:sz w:val="20"/>
          <w:szCs w:val="20"/>
        </w:rPr>
        <w:t xml:space="preserve"> ritenete più adeguato?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BB7BB2" w:rsidRPr="00D8001D" w14:paraId="3B537F40" w14:textId="77777777" w:rsidTr="00CD6B14">
        <w:trPr>
          <w:trHeight w:val="1824"/>
        </w:trPr>
        <w:tc>
          <w:tcPr>
            <w:tcW w:w="8642" w:type="dxa"/>
            <w:shd w:val="clear" w:color="auto" w:fill="F2F2F2" w:themeFill="background1" w:themeFillShade="F2"/>
          </w:tcPr>
          <w:p w14:paraId="34EB20BB" w14:textId="77777777" w:rsidR="00BB7BB2" w:rsidRPr="00D8001D" w:rsidRDefault="00BB7BB2" w:rsidP="00CD6B14">
            <w:pPr>
              <w:jc w:val="both"/>
              <w:rPr>
                <w:rFonts w:ascii="Arial" w:hAnsi="Arial" w:cs="Arial"/>
                <w:bCs/>
                <w:color w:val="000000" w:themeColor="text1"/>
                <w:sz w:val="20"/>
                <w:szCs w:val="20"/>
              </w:rPr>
            </w:pPr>
          </w:p>
        </w:tc>
      </w:tr>
    </w:tbl>
    <w:p w14:paraId="7AF9E419" w14:textId="77777777" w:rsidR="00D66252" w:rsidRPr="00D706A3" w:rsidRDefault="00D66252" w:rsidP="00D66252">
      <w:pPr>
        <w:spacing w:after="120" w:line="276" w:lineRule="auto"/>
        <w:ind w:left="357"/>
        <w:jc w:val="both"/>
        <w:rPr>
          <w:rFonts w:ascii="Arial" w:hAnsi="Arial" w:cs="Arial"/>
          <w:bCs/>
          <w:color w:val="000000" w:themeColor="text1"/>
          <w:sz w:val="20"/>
          <w:szCs w:val="20"/>
        </w:rPr>
      </w:pPr>
    </w:p>
    <w:p w14:paraId="3DED6DEC" w14:textId="24283871" w:rsidR="00BB7BB2" w:rsidRPr="00A7512C" w:rsidRDefault="00D66252" w:rsidP="00A7512C">
      <w:pPr>
        <w:numPr>
          <w:ilvl w:val="0"/>
          <w:numId w:val="4"/>
        </w:numPr>
        <w:spacing w:after="120" w:line="276" w:lineRule="auto"/>
        <w:ind w:left="284" w:hanging="357"/>
        <w:jc w:val="both"/>
        <w:rPr>
          <w:rFonts w:ascii="Arial" w:hAnsi="Arial" w:cs="Arial"/>
          <w:bCs/>
          <w:color w:val="000000" w:themeColor="text1"/>
          <w:sz w:val="20"/>
          <w:szCs w:val="20"/>
        </w:rPr>
      </w:pPr>
      <w:r w:rsidRPr="00D706A3">
        <w:rPr>
          <w:rFonts w:ascii="Arial" w:hAnsi="Arial" w:cs="Arial"/>
          <w:bCs/>
          <w:color w:val="000000" w:themeColor="text1"/>
          <w:sz w:val="20"/>
          <w:szCs w:val="20"/>
        </w:rPr>
        <w:t>A decorrere dal 01/01/2025 il PUN è stato sostituito dal PUN Index GME, così come definito dal decreto del MASE del 18/04/2024 e dalla Delibera ARERA n. 304/2024/R/</w:t>
      </w:r>
      <w:proofErr w:type="spellStart"/>
      <w:r w:rsidRPr="00D706A3">
        <w:rPr>
          <w:rFonts w:ascii="Arial" w:hAnsi="Arial" w:cs="Arial"/>
          <w:bCs/>
          <w:color w:val="000000" w:themeColor="text1"/>
          <w:sz w:val="20"/>
          <w:szCs w:val="20"/>
        </w:rPr>
        <w:t>eel</w:t>
      </w:r>
      <w:proofErr w:type="spellEnd"/>
      <w:r w:rsidRPr="00D706A3">
        <w:rPr>
          <w:rFonts w:ascii="Arial" w:hAnsi="Arial" w:cs="Arial"/>
          <w:bCs/>
          <w:color w:val="000000" w:themeColor="text1"/>
          <w:sz w:val="20"/>
          <w:szCs w:val="20"/>
        </w:rPr>
        <w:t xml:space="preserve">. A vostro avviso, </w:t>
      </w:r>
      <w:r w:rsidR="003E3428" w:rsidRPr="00D706A3">
        <w:rPr>
          <w:rFonts w:ascii="Arial" w:hAnsi="Arial" w:cs="Arial"/>
          <w:bCs/>
          <w:color w:val="000000" w:themeColor="text1"/>
          <w:sz w:val="20"/>
          <w:szCs w:val="20"/>
        </w:rPr>
        <w:t xml:space="preserve">quando </w:t>
      </w:r>
      <w:r w:rsidRPr="00D706A3">
        <w:rPr>
          <w:rFonts w:ascii="Arial" w:hAnsi="Arial" w:cs="Arial"/>
          <w:bCs/>
          <w:color w:val="000000" w:themeColor="text1"/>
          <w:sz w:val="20"/>
          <w:szCs w:val="20"/>
        </w:rPr>
        <w:t>si passerà a tutti gli effetti ad un sistema di prezzi zonali? Quale criticità prevedete per le PA imputabili al passaggio da PUN Index GME a Prezzo Zonale?</w:t>
      </w:r>
    </w:p>
    <w:tbl>
      <w:tblPr>
        <w:tblStyle w:val="Grigliatabella"/>
        <w:tblpPr w:leftFromText="141" w:rightFromText="141" w:vertAnchor="text" w:horzAnchor="margin" w:tblpY="-14"/>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BB7BB2" w:rsidRPr="00D8001D" w14:paraId="60D6BC03" w14:textId="77777777" w:rsidTr="00CD6B14">
        <w:trPr>
          <w:trHeight w:val="1824"/>
        </w:trPr>
        <w:tc>
          <w:tcPr>
            <w:tcW w:w="8642" w:type="dxa"/>
            <w:shd w:val="clear" w:color="auto" w:fill="F2F2F2" w:themeFill="background1" w:themeFillShade="F2"/>
          </w:tcPr>
          <w:p w14:paraId="589ED824" w14:textId="77777777" w:rsidR="00BB7BB2" w:rsidRPr="00D8001D" w:rsidRDefault="00BB7BB2" w:rsidP="00CD6B14">
            <w:pPr>
              <w:jc w:val="both"/>
              <w:rPr>
                <w:rFonts w:ascii="Arial" w:hAnsi="Arial" w:cs="Arial"/>
                <w:bCs/>
                <w:color w:val="000000" w:themeColor="text1"/>
                <w:sz w:val="20"/>
                <w:szCs w:val="20"/>
              </w:rPr>
            </w:pPr>
          </w:p>
        </w:tc>
      </w:tr>
    </w:tbl>
    <w:p w14:paraId="03A323D8" w14:textId="77777777" w:rsidR="00BB7BB2" w:rsidRDefault="00BB7BB2" w:rsidP="00A7512C">
      <w:pPr>
        <w:spacing w:after="120" w:line="276" w:lineRule="auto"/>
        <w:ind w:left="284"/>
        <w:jc w:val="both"/>
        <w:rPr>
          <w:rFonts w:ascii="Arial" w:hAnsi="Arial" w:cs="Arial"/>
          <w:bCs/>
          <w:color w:val="000000" w:themeColor="text1"/>
          <w:sz w:val="20"/>
          <w:szCs w:val="20"/>
        </w:rPr>
      </w:pPr>
    </w:p>
    <w:p w14:paraId="78EA1786" w14:textId="3F6D27AF" w:rsidR="005A6CE7" w:rsidRPr="00BB7BB2" w:rsidRDefault="00BB7BB2" w:rsidP="00A7512C">
      <w:pPr>
        <w:numPr>
          <w:ilvl w:val="0"/>
          <w:numId w:val="4"/>
        </w:numPr>
        <w:spacing w:after="120" w:line="276" w:lineRule="auto"/>
        <w:ind w:left="284" w:hanging="357"/>
        <w:jc w:val="both"/>
        <w:rPr>
          <w:rFonts w:ascii="Arial" w:hAnsi="Arial" w:cs="Arial"/>
          <w:bCs/>
          <w:color w:val="000000" w:themeColor="text1"/>
          <w:sz w:val="20"/>
          <w:szCs w:val="20"/>
        </w:rPr>
      </w:pPr>
      <w:r w:rsidRPr="00BB7BB2">
        <w:rPr>
          <w:rFonts w:ascii="Arial" w:hAnsi="Arial" w:cs="Arial"/>
          <w:bCs/>
          <w:color w:val="000000" w:themeColor="text1"/>
          <w:sz w:val="20"/>
          <w:szCs w:val="20"/>
        </w:rPr>
        <w:t xml:space="preserve">Con riferimento al </w:t>
      </w:r>
      <w:proofErr w:type="gramStart"/>
      <w:r w:rsidRPr="00BB7BB2">
        <w:rPr>
          <w:rFonts w:ascii="Arial" w:hAnsi="Arial" w:cs="Arial"/>
          <w:bCs/>
          <w:color w:val="000000" w:themeColor="text1"/>
          <w:sz w:val="20"/>
          <w:szCs w:val="20"/>
        </w:rPr>
        <w:t>Decreto Legge</w:t>
      </w:r>
      <w:proofErr w:type="gramEnd"/>
      <w:r w:rsidRPr="00BB7BB2">
        <w:rPr>
          <w:rFonts w:ascii="Arial" w:hAnsi="Arial" w:cs="Arial"/>
          <w:bCs/>
          <w:color w:val="000000" w:themeColor="text1"/>
          <w:sz w:val="20"/>
          <w:szCs w:val="20"/>
        </w:rPr>
        <w:t xml:space="preserve"> 20 febbraio 2026 n. 21 “Misure urgenti per la riduzione del</w:t>
      </w:r>
      <w:r w:rsidRPr="00BB7BB2">
        <w:rPr>
          <w:rFonts w:ascii="Arial" w:hAnsi="Arial" w:cs="Arial"/>
          <w:bCs/>
          <w:i/>
          <w:iCs/>
          <w:color w:val="000000" w:themeColor="text1"/>
          <w:sz w:val="20"/>
          <w:szCs w:val="20"/>
        </w:rPr>
        <w:t xml:space="preserve"> costo dell’energia elettrica e del gas in favore delle famiglie e delle imprese, per la competitività delle imprese e per la decarbonizzazione delle industrie, nonché disposizioni urgenti in materia di risoluzione della saturazione virtuale delle reti elettriche e di integrazione dei centri di elaborazione dati nel sistema elettrico”. </w:t>
      </w:r>
      <w:r w:rsidRPr="00BB7BB2">
        <w:rPr>
          <w:rFonts w:ascii="Arial" w:hAnsi="Arial" w:cs="Arial"/>
          <w:bCs/>
          <w:color w:val="000000" w:themeColor="text1"/>
          <w:sz w:val="20"/>
          <w:szCs w:val="20"/>
        </w:rPr>
        <w:t>quali impatti e criticità individuate nelle forniture alla PA?</w:t>
      </w:r>
    </w:p>
    <w:tbl>
      <w:tblPr>
        <w:tblStyle w:val="Grigliatabella"/>
        <w:tblpPr w:leftFromText="141" w:rightFromText="141" w:vertAnchor="text" w:horzAnchor="margin" w:tblpY="96"/>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5A6CE7" w:rsidRPr="00D8001D" w14:paraId="0E5D224A" w14:textId="77777777" w:rsidTr="005A6CE7">
        <w:trPr>
          <w:trHeight w:val="1824"/>
        </w:trPr>
        <w:tc>
          <w:tcPr>
            <w:tcW w:w="8642" w:type="dxa"/>
            <w:shd w:val="clear" w:color="auto" w:fill="F2F2F2" w:themeFill="background1" w:themeFillShade="F2"/>
          </w:tcPr>
          <w:p w14:paraId="73FB64F6" w14:textId="77777777" w:rsidR="005A6CE7" w:rsidRPr="00D8001D" w:rsidRDefault="005A6CE7" w:rsidP="005A6CE7">
            <w:pPr>
              <w:jc w:val="both"/>
              <w:rPr>
                <w:rFonts w:ascii="Arial" w:hAnsi="Arial" w:cs="Arial"/>
                <w:bCs/>
                <w:color w:val="000000" w:themeColor="text1"/>
                <w:sz w:val="20"/>
                <w:szCs w:val="20"/>
              </w:rPr>
            </w:pPr>
          </w:p>
        </w:tc>
      </w:tr>
    </w:tbl>
    <w:p w14:paraId="5A7D1803" w14:textId="77777777" w:rsidR="00BB7BB2" w:rsidRPr="00BB7BB2" w:rsidRDefault="00BB7BB2" w:rsidP="007209FF">
      <w:pPr>
        <w:spacing w:after="120" w:line="276" w:lineRule="auto"/>
        <w:ind w:left="284"/>
        <w:jc w:val="both"/>
        <w:rPr>
          <w:rFonts w:ascii="Arial" w:hAnsi="Arial" w:cs="Arial"/>
          <w:bCs/>
          <w:color w:val="000000" w:themeColor="text1"/>
          <w:sz w:val="20"/>
          <w:szCs w:val="20"/>
        </w:rPr>
      </w:pPr>
    </w:p>
    <w:p w14:paraId="23A74FB3" w14:textId="1271B917" w:rsidR="005B74BE" w:rsidRPr="005B74BE" w:rsidRDefault="005B74BE" w:rsidP="007209FF">
      <w:pPr>
        <w:numPr>
          <w:ilvl w:val="0"/>
          <w:numId w:val="4"/>
        </w:numPr>
        <w:spacing w:after="120" w:line="276" w:lineRule="auto"/>
        <w:ind w:left="284" w:hanging="357"/>
        <w:jc w:val="both"/>
        <w:rPr>
          <w:rFonts w:ascii="Arial" w:hAnsi="Arial" w:cs="Arial"/>
          <w:bCs/>
          <w:color w:val="000000" w:themeColor="text1"/>
          <w:sz w:val="20"/>
          <w:szCs w:val="20"/>
        </w:rPr>
      </w:pPr>
      <w:r w:rsidRPr="005B74BE">
        <w:rPr>
          <w:rFonts w:ascii="Arial" w:hAnsi="Arial" w:cs="Arial"/>
          <w:bCs/>
          <w:color w:val="000000" w:themeColor="text1"/>
          <w:sz w:val="20"/>
          <w:szCs w:val="20"/>
        </w:rPr>
        <w:lastRenderedPageBreak/>
        <w:t>Con riferimento alla Delibera ARERA n. 58/2026/R/EEL, recante la “Riforma del processo di cambio fornitore nel settore elettrico”</w:t>
      </w:r>
      <w:r>
        <w:rPr>
          <w:rFonts w:ascii="Arial" w:hAnsi="Arial" w:cs="Arial"/>
          <w:bCs/>
          <w:color w:val="000000" w:themeColor="text1"/>
          <w:sz w:val="20"/>
          <w:szCs w:val="20"/>
        </w:rPr>
        <w:t xml:space="preserve"> valida </w:t>
      </w:r>
      <w:r w:rsidR="00573E3B">
        <w:rPr>
          <w:rFonts w:ascii="Arial" w:hAnsi="Arial" w:cs="Arial"/>
          <w:bCs/>
          <w:color w:val="000000" w:themeColor="text1"/>
          <w:sz w:val="20"/>
          <w:szCs w:val="20"/>
        </w:rPr>
        <w:t>d</w:t>
      </w:r>
      <w:r>
        <w:rPr>
          <w:rFonts w:ascii="Arial" w:hAnsi="Arial" w:cs="Arial"/>
          <w:bCs/>
          <w:color w:val="000000" w:themeColor="text1"/>
          <w:sz w:val="20"/>
          <w:szCs w:val="20"/>
        </w:rPr>
        <w:t>a</w:t>
      </w:r>
      <w:r w:rsidR="00573E3B">
        <w:rPr>
          <w:rFonts w:ascii="Arial" w:hAnsi="Arial" w:cs="Arial"/>
          <w:bCs/>
          <w:color w:val="000000" w:themeColor="text1"/>
          <w:sz w:val="20"/>
          <w:szCs w:val="20"/>
        </w:rPr>
        <w:t>l 01/12/2026</w:t>
      </w:r>
      <w:r w:rsidRPr="005B74BE">
        <w:rPr>
          <w:rFonts w:ascii="Arial" w:hAnsi="Arial" w:cs="Arial"/>
          <w:bCs/>
          <w:color w:val="000000" w:themeColor="text1"/>
          <w:sz w:val="20"/>
          <w:szCs w:val="20"/>
        </w:rPr>
        <w:t xml:space="preserve">, quali impatti </w:t>
      </w:r>
      <w:r w:rsidR="00573E3B">
        <w:rPr>
          <w:rFonts w:ascii="Arial" w:hAnsi="Arial" w:cs="Arial"/>
          <w:bCs/>
          <w:color w:val="000000" w:themeColor="text1"/>
          <w:sz w:val="20"/>
          <w:szCs w:val="20"/>
        </w:rPr>
        <w:t>e</w:t>
      </w:r>
      <w:r w:rsidRPr="005B74BE">
        <w:rPr>
          <w:rFonts w:ascii="Arial" w:hAnsi="Arial" w:cs="Arial"/>
          <w:bCs/>
          <w:color w:val="000000" w:themeColor="text1"/>
          <w:sz w:val="20"/>
          <w:szCs w:val="20"/>
        </w:rPr>
        <w:t xml:space="preserve"> criticità </w:t>
      </w:r>
      <w:r w:rsidR="00573E3B">
        <w:rPr>
          <w:rFonts w:ascii="Arial" w:hAnsi="Arial" w:cs="Arial"/>
          <w:bCs/>
          <w:color w:val="000000" w:themeColor="text1"/>
          <w:sz w:val="20"/>
          <w:szCs w:val="20"/>
        </w:rPr>
        <w:t>individuate</w:t>
      </w:r>
      <w:r w:rsidRPr="005B74BE">
        <w:rPr>
          <w:rFonts w:ascii="Arial" w:hAnsi="Arial" w:cs="Arial"/>
          <w:bCs/>
          <w:color w:val="000000" w:themeColor="text1"/>
          <w:sz w:val="20"/>
          <w:szCs w:val="20"/>
        </w:rPr>
        <w:t xml:space="preserve"> nelle forniture destinate alle </w:t>
      </w:r>
      <w:r>
        <w:rPr>
          <w:rFonts w:ascii="Arial" w:hAnsi="Arial" w:cs="Arial"/>
          <w:bCs/>
          <w:color w:val="000000" w:themeColor="text1"/>
          <w:sz w:val="20"/>
          <w:szCs w:val="20"/>
        </w:rPr>
        <w:t>PA</w:t>
      </w:r>
      <w:r w:rsidRPr="005B74BE">
        <w:rPr>
          <w:rFonts w:ascii="Arial" w:hAnsi="Arial" w:cs="Arial"/>
          <w:bCs/>
          <w:color w:val="000000" w:themeColor="text1"/>
          <w:sz w:val="20"/>
          <w:szCs w:val="20"/>
        </w:rPr>
        <w:t xml:space="preserve"> nell’ipotesi di una riduzione delle tempistiche di attivazione della fornitura, prevedendo la decorrenza al </w:t>
      </w:r>
      <w:r w:rsidRPr="005B74BE">
        <w:rPr>
          <w:rFonts w:ascii="Arial" w:hAnsi="Arial" w:cs="Arial"/>
          <w:bCs/>
          <w:i/>
          <w:iCs/>
          <w:color w:val="000000" w:themeColor="text1"/>
          <w:sz w:val="20"/>
          <w:szCs w:val="20"/>
        </w:rPr>
        <w:t>primo giorno del mese successivo</w:t>
      </w:r>
      <w:r w:rsidRPr="005B74BE">
        <w:rPr>
          <w:rFonts w:ascii="Arial" w:hAnsi="Arial" w:cs="Arial"/>
          <w:bCs/>
          <w:color w:val="000000" w:themeColor="text1"/>
          <w:sz w:val="20"/>
          <w:szCs w:val="20"/>
        </w:rPr>
        <w:t xml:space="preserve"> alla ricezione dell’Ordinativo di Fornitura</w:t>
      </w:r>
      <w:r w:rsidR="00A32E40">
        <w:rPr>
          <w:rFonts w:ascii="Arial" w:hAnsi="Arial" w:cs="Arial"/>
          <w:bCs/>
          <w:color w:val="000000" w:themeColor="text1"/>
          <w:sz w:val="20"/>
          <w:szCs w:val="20"/>
        </w:rPr>
        <w:t>,</w:t>
      </w:r>
      <w:r w:rsidRPr="005B74BE">
        <w:rPr>
          <w:rFonts w:ascii="Arial" w:hAnsi="Arial" w:cs="Arial"/>
          <w:bCs/>
          <w:color w:val="000000" w:themeColor="text1"/>
          <w:sz w:val="20"/>
          <w:szCs w:val="20"/>
        </w:rPr>
        <w:t xml:space="preserve"> qualora lo stesso pervenga entro le ore 24:00 del giorno 10 del mese, ovvero al </w:t>
      </w:r>
      <w:r w:rsidRPr="005B74BE">
        <w:rPr>
          <w:rFonts w:ascii="Arial" w:hAnsi="Arial" w:cs="Arial"/>
          <w:bCs/>
          <w:i/>
          <w:iCs/>
          <w:color w:val="000000" w:themeColor="text1"/>
          <w:sz w:val="20"/>
          <w:szCs w:val="20"/>
        </w:rPr>
        <w:t>primo giorno del secondo mese successivo</w:t>
      </w:r>
      <w:r w:rsidRPr="005B74BE">
        <w:rPr>
          <w:rFonts w:ascii="Arial" w:hAnsi="Arial" w:cs="Arial"/>
          <w:bCs/>
          <w:color w:val="000000" w:themeColor="text1"/>
          <w:sz w:val="20"/>
          <w:szCs w:val="20"/>
        </w:rPr>
        <w:t xml:space="preserve"> in caso di ricezione dell’Ordinativo oltre tale termine?</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338EA" w:rsidRPr="00D8001D" w14:paraId="2BDCD557" w14:textId="77777777" w:rsidTr="004A1637">
        <w:trPr>
          <w:trHeight w:val="1824"/>
        </w:trPr>
        <w:tc>
          <w:tcPr>
            <w:tcW w:w="8642" w:type="dxa"/>
            <w:shd w:val="clear" w:color="auto" w:fill="F2F2F2" w:themeFill="background1" w:themeFillShade="F2"/>
          </w:tcPr>
          <w:p w14:paraId="1C4F5E2E" w14:textId="77777777" w:rsidR="00D338EA" w:rsidRPr="00D8001D" w:rsidRDefault="00D338EA" w:rsidP="00BF6D97">
            <w:pPr>
              <w:jc w:val="both"/>
              <w:rPr>
                <w:rFonts w:ascii="Arial" w:hAnsi="Arial" w:cs="Arial"/>
                <w:bCs/>
                <w:color w:val="000000" w:themeColor="text1"/>
                <w:sz w:val="20"/>
                <w:szCs w:val="20"/>
              </w:rPr>
            </w:pPr>
          </w:p>
        </w:tc>
      </w:tr>
    </w:tbl>
    <w:p w14:paraId="209DCC77" w14:textId="77777777" w:rsidR="00D66252" w:rsidRPr="00D8001D" w:rsidRDefault="00D66252" w:rsidP="00D66252">
      <w:pPr>
        <w:spacing w:after="120" w:line="276" w:lineRule="auto"/>
        <w:ind w:left="284"/>
        <w:jc w:val="both"/>
        <w:rPr>
          <w:rFonts w:ascii="Arial" w:hAnsi="Arial" w:cs="Arial"/>
          <w:bCs/>
          <w:color w:val="000000" w:themeColor="text1"/>
          <w:sz w:val="20"/>
          <w:szCs w:val="20"/>
        </w:rPr>
      </w:pPr>
    </w:p>
    <w:p w14:paraId="60B9AFDE" w14:textId="275D385C" w:rsidR="00D66252" w:rsidRPr="004E00C6" w:rsidRDefault="00D66252" w:rsidP="004E00C6">
      <w:pPr>
        <w:numPr>
          <w:ilvl w:val="0"/>
          <w:numId w:val="4"/>
        </w:numPr>
        <w:spacing w:after="120" w:line="276" w:lineRule="auto"/>
        <w:ind w:left="284" w:hanging="357"/>
        <w:jc w:val="both"/>
        <w:rPr>
          <w:rFonts w:ascii="Arial" w:hAnsi="Arial" w:cs="Arial"/>
          <w:bCs/>
          <w:color w:val="000000" w:themeColor="text1"/>
          <w:sz w:val="20"/>
          <w:szCs w:val="20"/>
        </w:rPr>
      </w:pPr>
      <w:r w:rsidRPr="004E00C6">
        <w:rPr>
          <w:rFonts w:ascii="Arial" w:hAnsi="Arial" w:cs="Arial"/>
          <w:bCs/>
          <w:color w:val="000000" w:themeColor="text1"/>
          <w:sz w:val="20"/>
          <w:szCs w:val="20"/>
        </w:rPr>
        <w:t xml:space="preserve">Nella precedente edizione, il Fornitore aggiudicatario rendeva disponibili forniture a Prezzo Variabile a 24 mesi per un quantitativo pari al 25% del massimale iniziale del Lotto. Ritenete ancora valido il </w:t>
      </w:r>
      <w:proofErr w:type="spellStart"/>
      <w:r w:rsidRPr="004E00C6">
        <w:rPr>
          <w:rFonts w:ascii="Arial" w:hAnsi="Arial" w:cs="Arial"/>
          <w:bCs/>
          <w:i/>
          <w:iCs/>
          <w:color w:val="000000" w:themeColor="text1"/>
          <w:sz w:val="20"/>
          <w:szCs w:val="20"/>
        </w:rPr>
        <w:t>cap</w:t>
      </w:r>
      <w:proofErr w:type="spellEnd"/>
      <w:r w:rsidRPr="004E00C6">
        <w:rPr>
          <w:rFonts w:ascii="Arial" w:hAnsi="Arial" w:cs="Arial"/>
          <w:bCs/>
          <w:color w:val="000000" w:themeColor="text1"/>
          <w:sz w:val="20"/>
          <w:szCs w:val="20"/>
        </w:rPr>
        <w:t xml:space="preserve">? </w:t>
      </w:r>
      <w:r w:rsidR="0072643E" w:rsidRPr="004E00C6">
        <w:rPr>
          <w:rFonts w:ascii="Arial" w:hAnsi="Arial" w:cs="Arial"/>
          <w:bCs/>
          <w:color w:val="000000" w:themeColor="text1"/>
          <w:sz w:val="20"/>
          <w:szCs w:val="20"/>
        </w:rPr>
        <w:t xml:space="preserve">Come </w:t>
      </w:r>
      <w:r w:rsidR="00A40674" w:rsidRPr="004E00C6">
        <w:rPr>
          <w:rFonts w:ascii="Arial" w:hAnsi="Arial" w:cs="Arial"/>
          <w:bCs/>
          <w:color w:val="000000" w:themeColor="text1"/>
          <w:sz w:val="20"/>
          <w:szCs w:val="20"/>
        </w:rPr>
        <w:t xml:space="preserve">valutereste </w:t>
      </w:r>
      <w:r w:rsidR="00A40674" w:rsidRPr="004E00C6">
        <w:rPr>
          <w:rFonts w:ascii="Arial" w:hAnsi="Arial" w:cs="Arial"/>
          <w:color w:val="000000"/>
          <w:sz w:val="20"/>
          <w:szCs w:val="20"/>
        </w:rPr>
        <w:t xml:space="preserve">un possibile aumento </w:t>
      </w:r>
      <w:r w:rsidR="00453DAC">
        <w:rPr>
          <w:rFonts w:ascii="Arial" w:hAnsi="Arial" w:cs="Arial"/>
          <w:color w:val="000000"/>
          <w:sz w:val="20"/>
          <w:szCs w:val="20"/>
        </w:rPr>
        <w:t>della quota</w:t>
      </w:r>
      <w:r w:rsidR="00A40674" w:rsidRPr="004E00C6">
        <w:rPr>
          <w:rFonts w:ascii="Arial" w:hAnsi="Arial" w:cs="Arial"/>
          <w:color w:val="000000"/>
          <w:sz w:val="20"/>
          <w:szCs w:val="20"/>
        </w:rPr>
        <w:t xml:space="preserve"> fino ad un valore </w:t>
      </w:r>
      <w:r w:rsidR="00BC198F">
        <w:rPr>
          <w:rFonts w:ascii="Arial" w:hAnsi="Arial" w:cs="Arial"/>
          <w:color w:val="000000"/>
          <w:sz w:val="20"/>
          <w:szCs w:val="20"/>
        </w:rPr>
        <w:t>pari al</w:t>
      </w:r>
      <w:r w:rsidR="00453DAC">
        <w:rPr>
          <w:rFonts w:ascii="Arial" w:hAnsi="Arial" w:cs="Arial"/>
          <w:color w:val="000000"/>
          <w:sz w:val="20"/>
          <w:szCs w:val="20"/>
        </w:rPr>
        <w:t xml:space="preserve"> </w:t>
      </w:r>
      <w:r w:rsidR="007B75A4">
        <w:rPr>
          <w:rFonts w:ascii="Arial" w:hAnsi="Arial" w:cs="Arial"/>
          <w:color w:val="000000"/>
          <w:sz w:val="20"/>
          <w:szCs w:val="20"/>
        </w:rPr>
        <w:t>30/</w:t>
      </w:r>
      <w:r w:rsidR="00A40674" w:rsidRPr="004E00C6">
        <w:rPr>
          <w:rFonts w:ascii="Arial" w:hAnsi="Arial" w:cs="Arial"/>
          <w:color w:val="000000"/>
          <w:sz w:val="20"/>
          <w:szCs w:val="20"/>
        </w:rPr>
        <w:t>35% rispetto al massimale iniziale?</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713721B1" w14:textId="77777777" w:rsidTr="004A1637">
        <w:trPr>
          <w:trHeight w:val="1824"/>
        </w:trPr>
        <w:tc>
          <w:tcPr>
            <w:tcW w:w="8642" w:type="dxa"/>
            <w:shd w:val="clear" w:color="auto" w:fill="F2F2F2" w:themeFill="background1" w:themeFillShade="F2"/>
          </w:tcPr>
          <w:p w14:paraId="4E9CD228" w14:textId="77777777" w:rsidR="00D66252" w:rsidRPr="00D8001D" w:rsidRDefault="00D66252" w:rsidP="004A0FEA">
            <w:pPr>
              <w:jc w:val="both"/>
              <w:rPr>
                <w:rFonts w:ascii="Arial" w:hAnsi="Arial" w:cs="Arial"/>
                <w:bCs/>
                <w:color w:val="000000" w:themeColor="text1"/>
                <w:sz w:val="20"/>
                <w:szCs w:val="20"/>
              </w:rPr>
            </w:pPr>
          </w:p>
        </w:tc>
      </w:tr>
    </w:tbl>
    <w:p w14:paraId="06046966" w14:textId="77777777" w:rsidR="00B21760" w:rsidRDefault="00B21760" w:rsidP="00B21760">
      <w:pPr>
        <w:spacing w:after="120" w:line="276" w:lineRule="auto"/>
        <w:ind w:left="360"/>
        <w:jc w:val="both"/>
        <w:rPr>
          <w:rFonts w:ascii="Arial" w:hAnsi="Arial" w:cs="Arial"/>
          <w:bCs/>
          <w:color w:val="000000" w:themeColor="text1"/>
          <w:sz w:val="20"/>
          <w:szCs w:val="20"/>
        </w:rPr>
      </w:pPr>
    </w:p>
    <w:p w14:paraId="4BAFF9B4" w14:textId="3E47E3E2" w:rsidR="00D66252" w:rsidRPr="00D8001D" w:rsidRDefault="00D66252" w:rsidP="005678F9">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 xml:space="preserve">Per </w:t>
      </w:r>
      <w:r>
        <w:rPr>
          <w:rFonts w:ascii="Arial" w:hAnsi="Arial" w:cs="Arial"/>
          <w:bCs/>
          <w:color w:val="000000" w:themeColor="text1"/>
          <w:sz w:val="20"/>
          <w:szCs w:val="20"/>
        </w:rPr>
        <w:t>l’edizione in oggetto</w:t>
      </w:r>
      <w:r w:rsidRPr="00D8001D">
        <w:rPr>
          <w:rFonts w:ascii="Arial" w:hAnsi="Arial" w:cs="Arial"/>
          <w:bCs/>
          <w:color w:val="000000" w:themeColor="text1"/>
          <w:sz w:val="20"/>
          <w:szCs w:val="20"/>
        </w:rPr>
        <w:t xml:space="preserve"> si sta valutando di introdurre le forniture a </w:t>
      </w:r>
      <w:r w:rsidRPr="00D8001D">
        <w:rPr>
          <w:rFonts w:ascii="Arial" w:hAnsi="Arial" w:cs="Arial"/>
          <w:bCs/>
          <w:color w:val="000000" w:themeColor="text1"/>
          <w:sz w:val="20"/>
          <w:szCs w:val="20"/>
          <w:u w:val="single"/>
        </w:rPr>
        <w:t>prezzo fisso a 12 mesi</w:t>
      </w:r>
      <w:r w:rsidRPr="00D8001D">
        <w:rPr>
          <w:rFonts w:ascii="Arial" w:hAnsi="Arial" w:cs="Arial"/>
          <w:bCs/>
          <w:color w:val="000000" w:themeColor="text1"/>
          <w:sz w:val="20"/>
          <w:szCs w:val="20"/>
        </w:rPr>
        <w:t xml:space="preserve">: </w:t>
      </w:r>
      <w:r>
        <w:rPr>
          <w:rFonts w:ascii="Arial" w:hAnsi="Arial" w:cs="Arial"/>
          <w:bCs/>
          <w:color w:val="000000" w:themeColor="text1"/>
          <w:sz w:val="20"/>
          <w:szCs w:val="20"/>
        </w:rPr>
        <w:t xml:space="preserve">per una quota compresa tra il 10% e il </w:t>
      </w:r>
      <w:r w:rsidR="005F115F">
        <w:rPr>
          <w:rFonts w:ascii="Arial" w:hAnsi="Arial" w:cs="Arial"/>
          <w:bCs/>
          <w:color w:val="000000" w:themeColor="text1"/>
          <w:sz w:val="20"/>
          <w:szCs w:val="20"/>
        </w:rPr>
        <w:t>20</w:t>
      </w:r>
      <w:r>
        <w:rPr>
          <w:rFonts w:ascii="Arial" w:hAnsi="Arial" w:cs="Arial"/>
          <w:bCs/>
          <w:color w:val="000000" w:themeColor="text1"/>
          <w:sz w:val="20"/>
          <w:szCs w:val="20"/>
        </w:rPr>
        <w:t xml:space="preserve">% del massimale iniziale: </w:t>
      </w:r>
      <w:r w:rsidRPr="00D8001D">
        <w:rPr>
          <w:rFonts w:ascii="Arial" w:hAnsi="Arial" w:cs="Arial"/>
          <w:bCs/>
          <w:i/>
          <w:color w:val="000000" w:themeColor="text1"/>
          <w:sz w:val="20"/>
          <w:szCs w:val="20"/>
        </w:rPr>
        <w:t>Prodotto Fisso a 12 mesi + spread</w:t>
      </w:r>
      <w:r w:rsidRPr="00D8001D">
        <w:rPr>
          <w:rFonts w:ascii="Arial" w:hAnsi="Arial" w:cs="Arial"/>
          <w:bCs/>
          <w:color w:val="000000" w:themeColor="text1"/>
          <w:sz w:val="20"/>
          <w:szCs w:val="20"/>
        </w:rPr>
        <w:t>.</w:t>
      </w:r>
    </w:p>
    <w:p w14:paraId="390B562B" w14:textId="067597E6" w:rsidR="00D66252" w:rsidRPr="005678F9" w:rsidRDefault="00D66252" w:rsidP="00D66252">
      <w:pPr>
        <w:spacing w:line="276" w:lineRule="auto"/>
        <w:ind w:left="284"/>
        <w:jc w:val="both"/>
        <w:rPr>
          <w:rFonts w:ascii="Arial" w:hAnsi="Arial" w:cs="Arial"/>
          <w:bCs/>
          <w:color w:val="000000" w:themeColor="text1"/>
          <w:sz w:val="20"/>
          <w:szCs w:val="20"/>
        </w:rPr>
      </w:pPr>
      <w:r w:rsidRPr="00D8001D">
        <w:rPr>
          <w:rFonts w:ascii="Arial" w:hAnsi="Arial" w:cs="Arial"/>
          <w:bCs/>
          <w:color w:val="000000" w:themeColor="text1"/>
          <w:sz w:val="20"/>
          <w:szCs w:val="20"/>
        </w:rPr>
        <w:t>Il</w:t>
      </w:r>
      <w:r w:rsidRPr="00D8001D">
        <w:rPr>
          <w:rFonts w:ascii="Arial" w:hAnsi="Arial" w:cs="Arial"/>
          <w:bCs/>
          <w:i/>
          <w:color w:val="000000" w:themeColor="text1"/>
          <w:sz w:val="20"/>
          <w:szCs w:val="20"/>
        </w:rPr>
        <w:t xml:space="preserve"> Prodotto Fisso a 12 mesi </w:t>
      </w:r>
      <w:r w:rsidRPr="00D8001D">
        <w:rPr>
          <w:rFonts w:ascii="Arial" w:hAnsi="Arial" w:cs="Arial"/>
          <w:bCs/>
          <w:color w:val="000000" w:themeColor="text1"/>
          <w:sz w:val="20"/>
          <w:szCs w:val="20"/>
        </w:rPr>
        <w:t xml:space="preserve">è definito come il valore medio delle quotazioni giornaliere disponibili del </w:t>
      </w:r>
      <w:proofErr w:type="spellStart"/>
      <w:r w:rsidRPr="00D8001D">
        <w:rPr>
          <w:rFonts w:ascii="Arial" w:hAnsi="Arial" w:cs="Arial"/>
          <w:bCs/>
          <w:i/>
          <w:color w:val="000000" w:themeColor="text1"/>
          <w:sz w:val="20"/>
          <w:szCs w:val="20"/>
        </w:rPr>
        <w:t>Settlement</w:t>
      </w:r>
      <w:proofErr w:type="spellEnd"/>
      <w:r w:rsidRPr="00D8001D">
        <w:rPr>
          <w:rFonts w:ascii="Arial" w:hAnsi="Arial" w:cs="Arial"/>
          <w:bCs/>
          <w:i/>
          <w:color w:val="000000" w:themeColor="text1"/>
          <w:sz w:val="20"/>
          <w:szCs w:val="20"/>
        </w:rPr>
        <w:t xml:space="preserve"> Price</w:t>
      </w:r>
      <w:r w:rsidRPr="00D8001D">
        <w:rPr>
          <w:rFonts w:ascii="Arial" w:hAnsi="Arial" w:cs="Arial"/>
          <w:bCs/>
          <w:color w:val="000000" w:themeColor="text1"/>
          <w:sz w:val="20"/>
          <w:szCs w:val="20"/>
        </w:rPr>
        <w:t xml:space="preserve"> dell’</w:t>
      </w:r>
      <w:proofErr w:type="spellStart"/>
      <w:r w:rsidRPr="00D8001D">
        <w:rPr>
          <w:rFonts w:ascii="Arial" w:hAnsi="Arial" w:cs="Arial"/>
          <w:bCs/>
          <w:i/>
          <w:color w:val="000000" w:themeColor="text1"/>
          <w:sz w:val="20"/>
          <w:szCs w:val="20"/>
        </w:rPr>
        <w:t>Italian</w:t>
      </w:r>
      <w:proofErr w:type="spellEnd"/>
      <w:r w:rsidRPr="00D8001D">
        <w:rPr>
          <w:rFonts w:ascii="Arial" w:hAnsi="Arial" w:cs="Arial"/>
          <w:bCs/>
          <w:i/>
          <w:color w:val="000000" w:themeColor="text1"/>
          <w:sz w:val="20"/>
          <w:szCs w:val="20"/>
        </w:rPr>
        <w:t xml:space="preserve"> </w:t>
      </w:r>
      <w:proofErr w:type="spellStart"/>
      <w:r w:rsidRPr="00D8001D">
        <w:rPr>
          <w:rFonts w:ascii="Arial" w:hAnsi="Arial" w:cs="Arial"/>
          <w:bCs/>
          <w:i/>
          <w:color w:val="000000" w:themeColor="text1"/>
          <w:sz w:val="20"/>
          <w:szCs w:val="20"/>
        </w:rPr>
        <w:t>Baseload</w:t>
      </w:r>
      <w:proofErr w:type="spellEnd"/>
      <w:r w:rsidRPr="00D8001D">
        <w:rPr>
          <w:rFonts w:ascii="Arial" w:hAnsi="Arial" w:cs="Arial"/>
          <w:bCs/>
          <w:i/>
          <w:color w:val="000000" w:themeColor="text1"/>
          <w:sz w:val="20"/>
          <w:szCs w:val="20"/>
        </w:rPr>
        <w:t xml:space="preserve"> Quarter Futures </w:t>
      </w:r>
      <w:r w:rsidRPr="00D8001D">
        <w:rPr>
          <w:rFonts w:ascii="Arial" w:hAnsi="Arial" w:cs="Arial"/>
          <w:bCs/>
          <w:color w:val="000000" w:themeColor="text1"/>
          <w:sz w:val="20"/>
          <w:szCs w:val="20"/>
        </w:rPr>
        <w:t>relative ai 4 Quarter che approssimano al meglio i 12 mesi di fornitura, rilevate sull’</w:t>
      </w:r>
      <w:proofErr w:type="spellStart"/>
      <w:r w:rsidRPr="00D8001D">
        <w:rPr>
          <w:rFonts w:ascii="Arial" w:hAnsi="Arial" w:cs="Arial"/>
          <w:bCs/>
          <w:i/>
          <w:color w:val="000000" w:themeColor="text1"/>
          <w:sz w:val="20"/>
          <w:szCs w:val="20"/>
        </w:rPr>
        <w:t>Italian</w:t>
      </w:r>
      <w:proofErr w:type="spellEnd"/>
      <w:r w:rsidRPr="00D8001D">
        <w:rPr>
          <w:rFonts w:ascii="Arial" w:hAnsi="Arial" w:cs="Arial"/>
          <w:bCs/>
          <w:i/>
          <w:color w:val="000000" w:themeColor="text1"/>
          <w:sz w:val="20"/>
          <w:szCs w:val="20"/>
        </w:rPr>
        <w:t xml:space="preserve"> Futures | EEX Power </w:t>
      </w:r>
      <w:proofErr w:type="spellStart"/>
      <w:r w:rsidRPr="00D8001D">
        <w:rPr>
          <w:rFonts w:ascii="Arial" w:hAnsi="Arial" w:cs="Arial"/>
          <w:bCs/>
          <w:i/>
          <w:color w:val="000000" w:themeColor="text1"/>
          <w:sz w:val="20"/>
          <w:szCs w:val="20"/>
        </w:rPr>
        <w:t>Derivatives</w:t>
      </w:r>
      <w:proofErr w:type="spellEnd"/>
      <w:r w:rsidRPr="00D8001D">
        <w:rPr>
          <w:rFonts w:ascii="Arial" w:hAnsi="Arial" w:cs="Arial"/>
          <w:bCs/>
          <w:i/>
          <w:color w:val="000000" w:themeColor="text1"/>
          <w:sz w:val="20"/>
          <w:szCs w:val="20"/>
        </w:rPr>
        <w:t xml:space="preserve"> dell’</w:t>
      </w:r>
      <w:proofErr w:type="spellStart"/>
      <w:r w:rsidRPr="00D8001D">
        <w:rPr>
          <w:rFonts w:ascii="Arial" w:hAnsi="Arial" w:cs="Arial"/>
          <w:bCs/>
          <w:i/>
          <w:color w:val="000000" w:themeColor="text1"/>
          <w:sz w:val="20"/>
          <w:szCs w:val="20"/>
        </w:rPr>
        <w:t>European</w:t>
      </w:r>
      <w:proofErr w:type="spellEnd"/>
      <w:r w:rsidRPr="00D8001D">
        <w:rPr>
          <w:rFonts w:ascii="Arial" w:hAnsi="Arial" w:cs="Arial"/>
          <w:bCs/>
          <w:i/>
          <w:color w:val="000000" w:themeColor="text1"/>
          <w:sz w:val="20"/>
          <w:szCs w:val="20"/>
        </w:rPr>
        <w:t xml:space="preserve"> Energy Exchange AG (</w:t>
      </w:r>
      <w:proofErr w:type="spellStart"/>
      <w:r w:rsidRPr="005678F9">
        <w:rPr>
          <w:rFonts w:ascii="Arial" w:hAnsi="Arial" w:cs="Arial"/>
          <w:bCs/>
          <w:i/>
          <w:color w:val="000000" w:themeColor="text1"/>
          <w:sz w:val="20"/>
          <w:szCs w:val="20"/>
        </w:rPr>
        <w:t>eeX</w:t>
      </w:r>
      <w:proofErr w:type="spellEnd"/>
      <w:r w:rsidRPr="005678F9">
        <w:rPr>
          <w:rFonts w:ascii="Arial" w:hAnsi="Arial" w:cs="Arial"/>
          <w:bCs/>
          <w:i/>
          <w:color w:val="000000" w:themeColor="text1"/>
          <w:sz w:val="20"/>
          <w:szCs w:val="20"/>
        </w:rPr>
        <w:t xml:space="preserve">) </w:t>
      </w:r>
      <w:r w:rsidRPr="005678F9">
        <w:rPr>
          <w:rFonts w:ascii="Arial" w:hAnsi="Arial" w:cs="Arial"/>
          <w:bCs/>
          <w:color w:val="000000" w:themeColor="text1"/>
          <w:sz w:val="20"/>
          <w:szCs w:val="20"/>
        </w:rPr>
        <w:t xml:space="preserve">dal </w:t>
      </w:r>
      <w:proofErr w:type="gramStart"/>
      <w:r w:rsidRPr="005678F9">
        <w:rPr>
          <w:rFonts w:ascii="Arial" w:hAnsi="Arial" w:cs="Arial"/>
          <w:bCs/>
          <w:color w:val="000000" w:themeColor="text1"/>
          <w:sz w:val="20"/>
          <w:szCs w:val="20"/>
        </w:rPr>
        <w:t>21esimo</w:t>
      </w:r>
      <w:proofErr w:type="gramEnd"/>
      <w:r w:rsidRPr="005678F9">
        <w:rPr>
          <w:rFonts w:ascii="Arial" w:hAnsi="Arial" w:cs="Arial"/>
          <w:bCs/>
          <w:color w:val="000000" w:themeColor="text1"/>
          <w:sz w:val="20"/>
          <w:szCs w:val="20"/>
        </w:rPr>
        <w:t xml:space="preserve"> all’ultimo giorno - </w:t>
      </w:r>
      <w:r w:rsidR="00D4685D" w:rsidRPr="005678F9">
        <w:rPr>
          <w:rFonts w:ascii="Arial" w:hAnsi="Arial" w:cs="Arial"/>
          <w:bCs/>
          <w:color w:val="000000" w:themeColor="text1"/>
          <w:sz w:val="20"/>
          <w:szCs w:val="20"/>
        </w:rPr>
        <w:t>inclusi</w:t>
      </w:r>
      <w:r w:rsidRPr="005678F9">
        <w:rPr>
          <w:rFonts w:ascii="Arial" w:hAnsi="Arial" w:cs="Arial"/>
          <w:bCs/>
          <w:color w:val="000000" w:themeColor="text1"/>
          <w:sz w:val="20"/>
          <w:szCs w:val="20"/>
        </w:rPr>
        <w:t xml:space="preserve"> - del </w:t>
      </w:r>
      <w:r w:rsidR="001929BF" w:rsidRPr="005678F9">
        <w:rPr>
          <w:rFonts w:ascii="Arial" w:hAnsi="Arial" w:cs="Arial"/>
          <w:bCs/>
          <w:color w:val="000000" w:themeColor="text1"/>
          <w:sz w:val="20"/>
          <w:szCs w:val="20"/>
        </w:rPr>
        <w:t>secondo</w:t>
      </w:r>
      <w:r w:rsidRPr="005678F9">
        <w:rPr>
          <w:rFonts w:ascii="Arial" w:hAnsi="Arial" w:cs="Arial"/>
          <w:bCs/>
          <w:color w:val="000000" w:themeColor="text1"/>
          <w:sz w:val="20"/>
          <w:szCs w:val="20"/>
        </w:rPr>
        <w:t xml:space="preserve"> mese antecedente l’attivazione della fornitura (coincidente con il mese </w:t>
      </w:r>
      <w:r w:rsidR="00744FB5">
        <w:rPr>
          <w:rFonts w:ascii="Arial" w:hAnsi="Arial" w:cs="Arial"/>
          <w:bCs/>
          <w:color w:val="000000" w:themeColor="text1"/>
          <w:sz w:val="20"/>
          <w:szCs w:val="20"/>
        </w:rPr>
        <w:t>de</w:t>
      </w:r>
      <w:r w:rsidR="001929BF" w:rsidRPr="005678F9">
        <w:rPr>
          <w:rFonts w:ascii="Arial" w:hAnsi="Arial" w:cs="Arial"/>
          <w:bCs/>
          <w:color w:val="000000" w:themeColor="text1"/>
          <w:sz w:val="20"/>
          <w:szCs w:val="20"/>
        </w:rPr>
        <w:t>lla</w:t>
      </w:r>
      <w:r w:rsidRPr="005678F9">
        <w:rPr>
          <w:rFonts w:ascii="Arial" w:hAnsi="Arial" w:cs="Arial"/>
          <w:bCs/>
          <w:color w:val="000000" w:themeColor="text1"/>
          <w:sz w:val="20"/>
          <w:szCs w:val="20"/>
        </w:rPr>
        <w:t xml:space="preserve"> ricezione dell’ODA).</w:t>
      </w:r>
    </w:p>
    <w:p w14:paraId="02F5790E" w14:textId="77777777" w:rsidR="00D66252" w:rsidRPr="00A15E2D" w:rsidRDefault="00D66252" w:rsidP="00D66252">
      <w:pPr>
        <w:spacing w:line="276" w:lineRule="auto"/>
        <w:ind w:left="284"/>
        <w:jc w:val="both"/>
        <w:rPr>
          <w:rFonts w:ascii="Arial" w:hAnsi="Arial" w:cs="Arial"/>
          <w:bCs/>
          <w:color w:val="000000" w:themeColor="text1"/>
          <w:sz w:val="20"/>
          <w:szCs w:val="20"/>
          <w:lang w:val="x-none"/>
        </w:rPr>
      </w:pPr>
      <w:r w:rsidRPr="005678F9">
        <w:rPr>
          <w:rFonts w:ascii="Arial" w:hAnsi="Arial" w:cs="Arial"/>
          <w:bCs/>
          <w:color w:val="000000" w:themeColor="text1"/>
          <w:sz w:val="20"/>
          <w:szCs w:val="20"/>
          <w:lang w:val="x-none"/>
        </w:rPr>
        <w:t>Si prevede che sarà possibile ricevere Ordinativi per forniture a prezzo fisso a 12 mesi solo nei primi 7 giorni solari (inclusi) di ciascun mese.</w:t>
      </w:r>
    </w:p>
    <w:p w14:paraId="1E31C1DD" w14:textId="77777777" w:rsidR="00D66252" w:rsidRPr="00D8001D" w:rsidRDefault="00D66252" w:rsidP="00D66252">
      <w:pPr>
        <w:spacing w:line="276" w:lineRule="auto"/>
        <w:ind w:left="284"/>
        <w:jc w:val="both"/>
        <w:rPr>
          <w:rFonts w:ascii="Arial" w:hAnsi="Arial" w:cs="Arial"/>
          <w:bCs/>
          <w:color w:val="000000" w:themeColor="text1"/>
          <w:sz w:val="20"/>
          <w:szCs w:val="20"/>
        </w:rPr>
      </w:pPr>
      <w:r w:rsidRPr="00A15E2D">
        <w:rPr>
          <w:rFonts w:ascii="Arial" w:hAnsi="Arial" w:cs="Arial"/>
          <w:bCs/>
          <w:color w:val="000000" w:themeColor="text1"/>
          <w:sz w:val="20"/>
          <w:szCs w:val="20"/>
          <w:lang w:val="x-none"/>
        </w:rPr>
        <w:t>Ritenete che sia possibile rendere disponibile tale tipologia di fornitura?</w:t>
      </w:r>
      <w:r w:rsidRPr="00D8001D">
        <w:rPr>
          <w:rFonts w:ascii="Arial" w:hAnsi="Arial" w:cs="Arial"/>
          <w:bCs/>
          <w:color w:val="000000" w:themeColor="text1"/>
          <w:sz w:val="20"/>
          <w:szCs w:val="20"/>
        </w:rPr>
        <w:t xml:space="preserve"> In caso di risposta negativa, quale altra tipologia di </w:t>
      </w:r>
      <w:r w:rsidRPr="00D8001D">
        <w:rPr>
          <w:rFonts w:ascii="Arial" w:hAnsi="Arial" w:cs="Arial"/>
          <w:bCs/>
          <w:i/>
          <w:color w:val="000000" w:themeColor="text1"/>
          <w:sz w:val="20"/>
          <w:szCs w:val="20"/>
        </w:rPr>
        <w:t>pricing</w:t>
      </w:r>
      <w:r w:rsidRPr="00D8001D">
        <w:rPr>
          <w:rFonts w:ascii="Arial" w:hAnsi="Arial" w:cs="Arial"/>
          <w:bCs/>
          <w:color w:val="000000" w:themeColor="text1"/>
          <w:sz w:val="20"/>
          <w:szCs w:val="20"/>
        </w:rPr>
        <w:t xml:space="preserve"> ritenete possibile rendere disponibili alle PA?</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3A569581" w14:textId="77777777" w:rsidTr="004A1637">
        <w:trPr>
          <w:trHeight w:val="1824"/>
        </w:trPr>
        <w:tc>
          <w:tcPr>
            <w:tcW w:w="8642" w:type="dxa"/>
            <w:shd w:val="clear" w:color="auto" w:fill="F2F2F2" w:themeFill="background1" w:themeFillShade="F2"/>
          </w:tcPr>
          <w:p w14:paraId="75E70277" w14:textId="77777777" w:rsidR="00D66252" w:rsidRPr="00D8001D" w:rsidRDefault="00D66252" w:rsidP="004A0FEA">
            <w:pPr>
              <w:jc w:val="both"/>
              <w:rPr>
                <w:rFonts w:ascii="Arial" w:hAnsi="Arial" w:cs="Arial"/>
                <w:bCs/>
                <w:color w:val="000000" w:themeColor="text1"/>
                <w:sz w:val="20"/>
                <w:szCs w:val="20"/>
              </w:rPr>
            </w:pPr>
            <w:r w:rsidRPr="00D8001D">
              <w:rPr>
                <w:rFonts w:ascii="Arial" w:hAnsi="Arial" w:cs="Arial"/>
                <w:bCs/>
                <w:color w:val="000000" w:themeColor="text1"/>
                <w:sz w:val="20"/>
                <w:szCs w:val="20"/>
              </w:rPr>
              <w:lastRenderedPageBreak/>
              <w:t xml:space="preserve"> </w:t>
            </w:r>
          </w:p>
        </w:tc>
      </w:tr>
    </w:tbl>
    <w:p w14:paraId="26B23C86" w14:textId="77777777" w:rsidR="00D66252" w:rsidRPr="00D8001D" w:rsidRDefault="00D66252" w:rsidP="00D66252">
      <w:pPr>
        <w:spacing w:after="120" w:line="276" w:lineRule="auto"/>
        <w:ind w:left="284"/>
        <w:jc w:val="both"/>
        <w:rPr>
          <w:rFonts w:ascii="Arial" w:hAnsi="Arial" w:cs="Arial"/>
          <w:bCs/>
          <w:color w:val="000000" w:themeColor="text1"/>
          <w:sz w:val="20"/>
          <w:szCs w:val="20"/>
        </w:rPr>
      </w:pPr>
    </w:p>
    <w:p w14:paraId="1EC89F2C" w14:textId="77777777" w:rsidR="00D66252" w:rsidRPr="00A41C09" w:rsidRDefault="00D66252" w:rsidP="001B66A4">
      <w:pPr>
        <w:numPr>
          <w:ilvl w:val="0"/>
          <w:numId w:val="4"/>
        </w:numPr>
        <w:spacing w:after="120" w:line="276" w:lineRule="auto"/>
        <w:ind w:left="284" w:hanging="357"/>
        <w:jc w:val="both"/>
        <w:rPr>
          <w:rFonts w:ascii="Arial" w:hAnsi="Arial" w:cs="Arial"/>
          <w:bCs/>
          <w:color w:val="000000" w:themeColor="text1"/>
          <w:sz w:val="20"/>
          <w:szCs w:val="20"/>
        </w:rPr>
      </w:pPr>
      <w:r w:rsidRPr="00A41C09">
        <w:rPr>
          <w:rFonts w:ascii="Arial" w:hAnsi="Arial" w:cs="Arial"/>
          <w:bCs/>
          <w:color w:val="000000" w:themeColor="text1"/>
          <w:sz w:val="20"/>
          <w:szCs w:val="20"/>
        </w:rPr>
        <w:t xml:space="preserve">Per la prossima edizione si sta valutando di mettere a gara la fornitura di energia elettrica prodotta </w:t>
      </w:r>
      <w:r w:rsidRPr="00F8071B">
        <w:rPr>
          <w:rFonts w:ascii="Arial" w:hAnsi="Arial" w:cs="Arial"/>
          <w:bCs/>
          <w:color w:val="000000" w:themeColor="text1"/>
          <w:sz w:val="20"/>
          <w:szCs w:val="20"/>
        </w:rPr>
        <w:t xml:space="preserve">da </w:t>
      </w:r>
      <w:r w:rsidRPr="00F8071B">
        <w:rPr>
          <w:rFonts w:ascii="Arial" w:hAnsi="Arial" w:cs="Arial"/>
          <w:bCs/>
          <w:color w:val="000000" w:themeColor="text1"/>
          <w:sz w:val="20"/>
          <w:szCs w:val="20"/>
          <w:u w:val="single"/>
        </w:rPr>
        <w:t>sola fonte rinnovabile</w:t>
      </w:r>
      <w:r w:rsidRPr="005678F9">
        <w:rPr>
          <w:rFonts w:ascii="Arial" w:hAnsi="Arial" w:cs="Arial"/>
          <w:bCs/>
          <w:color w:val="000000" w:themeColor="text1"/>
          <w:sz w:val="20"/>
          <w:szCs w:val="20"/>
        </w:rPr>
        <w:t xml:space="preserve">, </w:t>
      </w:r>
      <w:r w:rsidRPr="00F8071B">
        <w:rPr>
          <w:rFonts w:ascii="Arial" w:hAnsi="Arial" w:cs="Arial"/>
          <w:bCs/>
          <w:color w:val="000000" w:themeColor="text1"/>
          <w:sz w:val="20"/>
          <w:szCs w:val="20"/>
        </w:rPr>
        <w:t>la</w:t>
      </w:r>
      <w:r w:rsidRPr="00D8001D">
        <w:rPr>
          <w:rFonts w:ascii="Arial" w:hAnsi="Arial" w:cs="Arial"/>
          <w:bCs/>
          <w:color w:val="000000" w:themeColor="text1"/>
          <w:sz w:val="20"/>
          <w:szCs w:val="20"/>
        </w:rPr>
        <w:t xml:space="preserve"> cui origine/produzione è certificata tramite Garanzia d’Origin</w:t>
      </w:r>
      <w:r>
        <w:rPr>
          <w:rFonts w:ascii="Arial" w:hAnsi="Arial" w:cs="Arial"/>
          <w:bCs/>
          <w:color w:val="000000" w:themeColor="text1"/>
          <w:sz w:val="20"/>
          <w:szCs w:val="20"/>
        </w:rPr>
        <w:t>e</w:t>
      </w:r>
      <w:r w:rsidRPr="00A41C09">
        <w:rPr>
          <w:rFonts w:ascii="Arial" w:hAnsi="Arial" w:cs="Arial"/>
          <w:bCs/>
          <w:color w:val="000000" w:themeColor="text1"/>
          <w:sz w:val="20"/>
          <w:szCs w:val="20"/>
        </w:rPr>
        <w:t>. Ritenete possibile rendere disponibile esclusivamente tale tipologia di fornitura?</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3AF93635" w14:textId="77777777" w:rsidTr="004A1637">
        <w:trPr>
          <w:trHeight w:val="1824"/>
        </w:trPr>
        <w:tc>
          <w:tcPr>
            <w:tcW w:w="8642" w:type="dxa"/>
            <w:shd w:val="clear" w:color="auto" w:fill="F2F2F2" w:themeFill="background1" w:themeFillShade="F2"/>
          </w:tcPr>
          <w:p w14:paraId="118F2132" w14:textId="77777777" w:rsidR="00D66252" w:rsidRPr="00D8001D" w:rsidRDefault="00D66252" w:rsidP="004A0FEA">
            <w:pPr>
              <w:jc w:val="both"/>
              <w:rPr>
                <w:rFonts w:ascii="Arial" w:hAnsi="Arial" w:cs="Arial"/>
                <w:bCs/>
                <w:color w:val="000000" w:themeColor="text1"/>
                <w:sz w:val="20"/>
                <w:szCs w:val="20"/>
              </w:rPr>
            </w:pPr>
          </w:p>
        </w:tc>
      </w:tr>
    </w:tbl>
    <w:p w14:paraId="05A16E31" w14:textId="77777777" w:rsidR="00D66252" w:rsidRPr="00D8001D" w:rsidRDefault="00D66252" w:rsidP="00D66252">
      <w:pPr>
        <w:spacing w:after="120" w:line="276" w:lineRule="auto"/>
        <w:ind w:left="360"/>
        <w:jc w:val="both"/>
        <w:rPr>
          <w:rFonts w:ascii="Arial" w:hAnsi="Arial" w:cs="Arial"/>
          <w:bCs/>
          <w:color w:val="000000" w:themeColor="text1"/>
          <w:sz w:val="20"/>
          <w:szCs w:val="20"/>
        </w:rPr>
      </w:pPr>
    </w:p>
    <w:p w14:paraId="1D0D0699" w14:textId="501D8D73" w:rsidR="00D66252" w:rsidRPr="00D8001D" w:rsidRDefault="00D66252" w:rsidP="000F5CF8">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In caso di risposta negativa alla domanda n. 1</w:t>
      </w:r>
      <w:r w:rsidR="00E7271B">
        <w:rPr>
          <w:rFonts w:ascii="Arial" w:hAnsi="Arial" w:cs="Arial"/>
          <w:bCs/>
          <w:color w:val="000000" w:themeColor="text1"/>
          <w:sz w:val="20"/>
          <w:szCs w:val="20"/>
        </w:rPr>
        <w:t>8</w:t>
      </w:r>
      <w:r w:rsidRPr="00D8001D">
        <w:rPr>
          <w:rFonts w:ascii="Arial" w:hAnsi="Arial" w:cs="Arial"/>
          <w:bCs/>
          <w:color w:val="000000" w:themeColor="text1"/>
          <w:sz w:val="20"/>
          <w:szCs w:val="20"/>
        </w:rPr>
        <w:t xml:space="preserve">, nella precedente edizione, il Fornitore aggiudicatario rendeva disponibile una quota di energia elettrica, pari al </w:t>
      </w:r>
      <w:r>
        <w:rPr>
          <w:rFonts w:ascii="Arial" w:hAnsi="Arial" w:cs="Arial"/>
          <w:bCs/>
          <w:color w:val="000000" w:themeColor="text1"/>
          <w:sz w:val="20"/>
          <w:szCs w:val="20"/>
        </w:rPr>
        <w:t>75</w:t>
      </w:r>
      <w:r w:rsidRPr="00D8001D">
        <w:rPr>
          <w:rFonts w:ascii="Arial" w:hAnsi="Arial" w:cs="Arial"/>
          <w:bCs/>
          <w:color w:val="000000" w:themeColor="text1"/>
          <w:sz w:val="20"/>
          <w:szCs w:val="20"/>
        </w:rPr>
        <w:t>% del massimale iniziale, la cui origine/produzione è certificata tramite Garanzia d’Origine (Opzione Verde). Quale valore percentuale alternativo prevedreste per tale quota?</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2B7C56DC" w14:textId="77777777" w:rsidTr="004A1637">
        <w:trPr>
          <w:trHeight w:val="1824"/>
        </w:trPr>
        <w:tc>
          <w:tcPr>
            <w:tcW w:w="8642" w:type="dxa"/>
            <w:shd w:val="clear" w:color="auto" w:fill="F2F2F2" w:themeFill="background1" w:themeFillShade="F2"/>
          </w:tcPr>
          <w:p w14:paraId="17C2E949" w14:textId="77777777" w:rsidR="00D66252" w:rsidRPr="00D8001D" w:rsidRDefault="00D66252" w:rsidP="004A0FEA">
            <w:pPr>
              <w:jc w:val="both"/>
              <w:rPr>
                <w:rFonts w:ascii="Arial" w:hAnsi="Arial" w:cs="Arial"/>
                <w:bCs/>
                <w:color w:val="000000" w:themeColor="text1"/>
                <w:sz w:val="20"/>
                <w:szCs w:val="20"/>
              </w:rPr>
            </w:pPr>
          </w:p>
        </w:tc>
      </w:tr>
    </w:tbl>
    <w:p w14:paraId="3FBA64A6" w14:textId="77777777" w:rsidR="00681B38" w:rsidRDefault="00681B38" w:rsidP="00681B38">
      <w:pPr>
        <w:spacing w:after="120" w:line="276" w:lineRule="auto"/>
        <w:ind w:left="360"/>
        <w:jc w:val="both"/>
        <w:rPr>
          <w:rFonts w:ascii="Arial" w:hAnsi="Arial" w:cs="Arial"/>
          <w:bCs/>
          <w:color w:val="000000" w:themeColor="text1"/>
          <w:sz w:val="20"/>
          <w:szCs w:val="20"/>
        </w:rPr>
      </w:pPr>
    </w:p>
    <w:p w14:paraId="5E71A5DC" w14:textId="0ABE406E" w:rsidR="00D66252" w:rsidRPr="00C8202F" w:rsidRDefault="00D66252" w:rsidP="00E2640A">
      <w:pPr>
        <w:numPr>
          <w:ilvl w:val="0"/>
          <w:numId w:val="4"/>
        </w:numPr>
        <w:spacing w:after="120" w:line="276" w:lineRule="auto"/>
        <w:ind w:left="284" w:hanging="357"/>
        <w:jc w:val="both"/>
        <w:rPr>
          <w:rFonts w:ascii="Arial" w:hAnsi="Arial" w:cs="Arial"/>
          <w:bCs/>
          <w:color w:val="000000" w:themeColor="text1"/>
          <w:sz w:val="20"/>
          <w:szCs w:val="20"/>
        </w:rPr>
      </w:pPr>
      <w:r w:rsidRPr="00C8202F">
        <w:rPr>
          <w:rFonts w:ascii="Arial" w:hAnsi="Arial" w:cs="Arial"/>
          <w:bCs/>
          <w:color w:val="000000" w:themeColor="text1"/>
          <w:sz w:val="20"/>
          <w:szCs w:val="20"/>
        </w:rPr>
        <w:t>Nella precedente edizione sono stati introdotti due lotti geografici destinati esclusivamente alle PA che non riescono ad accedere ai lotti geografici di riferimento per motivi di insolvenza. Il Fornitore di tale/i Lotto/i è tenuto a fornire energia elettrica per un periodo minimo di 4 mesi oltre il quale, in caso di una percentuale di fatture insolute superiore al 60% dell’importo delle stesse, il contratto potrà essere risolto unilateralmente. Sareste interessati a partecipare a tale/i lotto/i?</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73C62325" w14:textId="77777777" w:rsidTr="004A1637">
        <w:trPr>
          <w:trHeight w:val="1824"/>
        </w:trPr>
        <w:tc>
          <w:tcPr>
            <w:tcW w:w="8642" w:type="dxa"/>
            <w:shd w:val="clear" w:color="auto" w:fill="F2F2F2" w:themeFill="background1" w:themeFillShade="F2"/>
          </w:tcPr>
          <w:p w14:paraId="48F4D618" w14:textId="77777777" w:rsidR="00D66252" w:rsidRPr="00D8001D" w:rsidRDefault="00D66252" w:rsidP="004A0FEA">
            <w:pPr>
              <w:jc w:val="both"/>
              <w:rPr>
                <w:rFonts w:ascii="Arial" w:hAnsi="Arial" w:cs="Arial"/>
                <w:bCs/>
                <w:color w:val="000000" w:themeColor="text1"/>
                <w:sz w:val="20"/>
                <w:szCs w:val="20"/>
              </w:rPr>
            </w:pPr>
          </w:p>
        </w:tc>
      </w:tr>
    </w:tbl>
    <w:p w14:paraId="133F26C6" w14:textId="77777777" w:rsidR="00D66252" w:rsidRDefault="00D66252" w:rsidP="00D66252">
      <w:pPr>
        <w:spacing w:after="120" w:line="276" w:lineRule="auto"/>
        <w:jc w:val="both"/>
        <w:rPr>
          <w:rFonts w:ascii="Arial" w:hAnsi="Arial" w:cs="Arial"/>
          <w:bCs/>
          <w:color w:val="000000" w:themeColor="text1"/>
          <w:sz w:val="20"/>
          <w:szCs w:val="20"/>
        </w:rPr>
      </w:pPr>
    </w:p>
    <w:p w14:paraId="78BF35CB" w14:textId="78E817AC" w:rsidR="00D66252" w:rsidRPr="00C8202F" w:rsidRDefault="00D66252" w:rsidP="00E2640A">
      <w:pPr>
        <w:numPr>
          <w:ilvl w:val="0"/>
          <w:numId w:val="4"/>
        </w:numPr>
        <w:spacing w:after="120" w:line="276" w:lineRule="auto"/>
        <w:ind w:left="284" w:hanging="357"/>
        <w:jc w:val="both"/>
        <w:rPr>
          <w:rFonts w:ascii="Arial" w:hAnsi="Arial" w:cs="Arial"/>
          <w:bCs/>
          <w:color w:val="000000" w:themeColor="text1"/>
          <w:sz w:val="20"/>
          <w:szCs w:val="20"/>
        </w:rPr>
      </w:pPr>
      <w:r w:rsidRPr="00C8202F">
        <w:rPr>
          <w:rFonts w:ascii="Arial" w:hAnsi="Arial" w:cs="Arial"/>
          <w:bCs/>
          <w:color w:val="000000" w:themeColor="text1"/>
          <w:sz w:val="20"/>
          <w:szCs w:val="20"/>
        </w:rPr>
        <w:lastRenderedPageBreak/>
        <w:t>In caso di risposta negativa alla domanda n.1</w:t>
      </w:r>
      <w:r w:rsidR="00A072A4">
        <w:rPr>
          <w:rFonts w:ascii="Arial" w:hAnsi="Arial" w:cs="Arial"/>
          <w:bCs/>
          <w:color w:val="000000" w:themeColor="text1"/>
          <w:sz w:val="20"/>
          <w:szCs w:val="20"/>
        </w:rPr>
        <w:t>8</w:t>
      </w:r>
      <w:r w:rsidRPr="00C8202F">
        <w:rPr>
          <w:rFonts w:ascii="Arial" w:hAnsi="Arial" w:cs="Arial"/>
          <w:bCs/>
          <w:color w:val="000000" w:themeColor="text1"/>
          <w:sz w:val="20"/>
          <w:szCs w:val="20"/>
        </w:rPr>
        <w:t>, quale alternativa proporreste?</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6FDB4F6E" w14:textId="77777777" w:rsidTr="004A1637">
        <w:trPr>
          <w:trHeight w:val="1824"/>
        </w:trPr>
        <w:tc>
          <w:tcPr>
            <w:tcW w:w="8642" w:type="dxa"/>
            <w:shd w:val="clear" w:color="auto" w:fill="F2F2F2" w:themeFill="background1" w:themeFillShade="F2"/>
          </w:tcPr>
          <w:p w14:paraId="5A7FB1F8" w14:textId="77777777" w:rsidR="00D66252" w:rsidRPr="00D8001D" w:rsidRDefault="00D66252" w:rsidP="004A0FEA">
            <w:pPr>
              <w:jc w:val="both"/>
              <w:rPr>
                <w:rFonts w:ascii="Arial" w:hAnsi="Arial" w:cs="Arial"/>
                <w:bCs/>
                <w:color w:val="000000" w:themeColor="text1"/>
                <w:sz w:val="20"/>
                <w:szCs w:val="20"/>
              </w:rPr>
            </w:pPr>
          </w:p>
        </w:tc>
      </w:tr>
    </w:tbl>
    <w:p w14:paraId="4B833515" w14:textId="77777777" w:rsidR="00D66252" w:rsidRDefault="00D66252" w:rsidP="00D66252">
      <w:pPr>
        <w:spacing w:after="120" w:line="276" w:lineRule="auto"/>
        <w:jc w:val="both"/>
        <w:rPr>
          <w:rFonts w:ascii="Arial" w:hAnsi="Arial" w:cs="Arial"/>
          <w:bCs/>
          <w:color w:val="000000" w:themeColor="text1"/>
          <w:sz w:val="20"/>
          <w:szCs w:val="20"/>
        </w:rPr>
      </w:pPr>
    </w:p>
    <w:p w14:paraId="201197F3" w14:textId="5096BD57" w:rsidR="00455599" w:rsidRDefault="00455599" w:rsidP="00E2640A">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 xml:space="preserve">Con riferimento al Bando Consip Energia Elettrica </w:t>
      </w:r>
      <w:r>
        <w:rPr>
          <w:rFonts w:ascii="Arial" w:hAnsi="Arial" w:cs="Arial"/>
          <w:bCs/>
          <w:color w:val="000000" w:themeColor="text1"/>
          <w:sz w:val="20"/>
          <w:szCs w:val="20"/>
        </w:rPr>
        <w:t>(ID 2880)</w:t>
      </w:r>
      <w:r w:rsidRPr="00D8001D">
        <w:rPr>
          <w:rFonts w:ascii="Arial" w:hAnsi="Arial" w:cs="Arial"/>
          <w:bCs/>
          <w:color w:val="000000" w:themeColor="text1"/>
          <w:sz w:val="20"/>
          <w:szCs w:val="20"/>
        </w:rPr>
        <w:t xml:space="preserve"> (www.acquistiretepa.it &gt; Acquista &gt; Convenzioni &gt; Energia Elettrica </w:t>
      </w:r>
      <w:r>
        <w:rPr>
          <w:rFonts w:ascii="Arial" w:hAnsi="Arial" w:cs="Arial"/>
          <w:bCs/>
          <w:color w:val="000000" w:themeColor="text1"/>
          <w:sz w:val="20"/>
          <w:szCs w:val="20"/>
        </w:rPr>
        <w:t>(ID 2880)</w:t>
      </w:r>
      <w:r w:rsidRPr="00D8001D">
        <w:rPr>
          <w:rFonts w:ascii="Arial" w:hAnsi="Arial" w:cs="Arial"/>
          <w:bCs/>
          <w:color w:val="000000" w:themeColor="text1"/>
          <w:sz w:val="20"/>
          <w:szCs w:val="20"/>
        </w:rPr>
        <w:t xml:space="preserve">, </w:t>
      </w:r>
      <w:r w:rsidRPr="00FE4A5C">
        <w:rPr>
          <w:rFonts w:ascii="Arial" w:hAnsi="Arial" w:cs="Arial"/>
          <w:bCs/>
          <w:color w:val="000000" w:themeColor="text1"/>
          <w:sz w:val="20"/>
          <w:szCs w:val="20"/>
        </w:rPr>
        <w:t>il Lotto 1</w:t>
      </w:r>
      <w:r>
        <w:rPr>
          <w:rFonts w:ascii="Arial" w:hAnsi="Arial" w:cs="Arial"/>
          <w:bCs/>
          <w:color w:val="000000" w:themeColor="text1"/>
          <w:sz w:val="20"/>
          <w:szCs w:val="20"/>
        </w:rPr>
        <w:t>9</w:t>
      </w:r>
      <w:r w:rsidRPr="00FE4A5C">
        <w:rPr>
          <w:rFonts w:ascii="Arial" w:hAnsi="Arial" w:cs="Arial"/>
          <w:bCs/>
          <w:color w:val="000000" w:themeColor="text1"/>
          <w:sz w:val="20"/>
          <w:szCs w:val="20"/>
        </w:rPr>
        <w:t xml:space="preserve"> – </w:t>
      </w:r>
      <w:r>
        <w:rPr>
          <w:rFonts w:ascii="Arial" w:hAnsi="Arial" w:cs="Arial"/>
          <w:bCs/>
          <w:color w:val="000000" w:themeColor="text1"/>
          <w:sz w:val="20"/>
          <w:szCs w:val="20"/>
        </w:rPr>
        <w:t>Sud</w:t>
      </w:r>
      <w:r w:rsidRPr="00FE4A5C">
        <w:rPr>
          <w:rFonts w:ascii="Arial" w:hAnsi="Arial" w:cs="Arial"/>
          <w:bCs/>
          <w:color w:val="000000" w:themeColor="text1"/>
          <w:sz w:val="20"/>
          <w:szCs w:val="20"/>
        </w:rPr>
        <w:t xml:space="preserve"> è stato l’unico lotto ad andare deserto. Quali ritenete siano le cause dell’assenza di partecipazione?</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455599" w:rsidRPr="00D8001D" w14:paraId="201A036A" w14:textId="77777777" w:rsidTr="00360F6F">
        <w:trPr>
          <w:trHeight w:val="1824"/>
        </w:trPr>
        <w:tc>
          <w:tcPr>
            <w:tcW w:w="8642" w:type="dxa"/>
            <w:shd w:val="clear" w:color="auto" w:fill="F2F2F2" w:themeFill="background1" w:themeFillShade="F2"/>
          </w:tcPr>
          <w:p w14:paraId="19D87555" w14:textId="77777777" w:rsidR="00455599" w:rsidRPr="00D8001D" w:rsidRDefault="00455599" w:rsidP="00360F6F">
            <w:pPr>
              <w:jc w:val="both"/>
              <w:rPr>
                <w:rFonts w:ascii="Arial" w:hAnsi="Arial" w:cs="Arial"/>
                <w:bCs/>
                <w:color w:val="000000" w:themeColor="text1"/>
                <w:sz w:val="20"/>
                <w:szCs w:val="20"/>
              </w:rPr>
            </w:pPr>
          </w:p>
        </w:tc>
      </w:tr>
    </w:tbl>
    <w:p w14:paraId="63E8B6EB" w14:textId="77777777" w:rsidR="00455599" w:rsidRDefault="00455599" w:rsidP="00455599">
      <w:pPr>
        <w:spacing w:after="120" w:line="276" w:lineRule="auto"/>
        <w:ind w:left="360"/>
        <w:jc w:val="both"/>
        <w:rPr>
          <w:rFonts w:ascii="Arial" w:hAnsi="Arial" w:cs="Arial"/>
          <w:bCs/>
          <w:color w:val="000000" w:themeColor="text1"/>
          <w:sz w:val="20"/>
          <w:szCs w:val="20"/>
        </w:rPr>
      </w:pPr>
    </w:p>
    <w:p w14:paraId="5DFEF801" w14:textId="08168B3F" w:rsidR="00455599" w:rsidRDefault="00455599" w:rsidP="00E2640A">
      <w:pPr>
        <w:numPr>
          <w:ilvl w:val="0"/>
          <w:numId w:val="4"/>
        </w:numPr>
        <w:spacing w:after="120" w:line="276" w:lineRule="auto"/>
        <w:ind w:left="284" w:hanging="357"/>
        <w:jc w:val="both"/>
        <w:rPr>
          <w:rFonts w:ascii="Arial" w:hAnsi="Arial" w:cs="Arial"/>
          <w:bCs/>
          <w:color w:val="000000" w:themeColor="text1"/>
          <w:sz w:val="20"/>
          <w:szCs w:val="20"/>
        </w:rPr>
      </w:pPr>
      <w:r w:rsidRPr="00681B38">
        <w:rPr>
          <w:rFonts w:ascii="Arial" w:hAnsi="Arial" w:cs="Arial"/>
          <w:bCs/>
          <w:color w:val="000000" w:themeColor="text1"/>
          <w:sz w:val="20"/>
          <w:szCs w:val="20"/>
        </w:rPr>
        <w:t>Con riferimento alla domanda precedente, quale pensate siano le soluzioni che si sarebbero potute adottare per evitare l’assenza di partecipazione? Tali soluzioni ritenete siano valide ed applicabili anche per questa iniziativa?</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455599" w:rsidRPr="00D8001D" w14:paraId="29456F5C" w14:textId="77777777" w:rsidTr="00360F6F">
        <w:trPr>
          <w:trHeight w:val="1824"/>
        </w:trPr>
        <w:tc>
          <w:tcPr>
            <w:tcW w:w="8642" w:type="dxa"/>
            <w:shd w:val="clear" w:color="auto" w:fill="F2F2F2" w:themeFill="background1" w:themeFillShade="F2"/>
          </w:tcPr>
          <w:p w14:paraId="71BE36B3" w14:textId="77777777" w:rsidR="00455599" w:rsidRPr="00D8001D" w:rsidRDefault="00455599" w:rsidP="00360F6F">
            <w:pPr>
              <w:jc w:val="both"/>
              <w:rPr>
                <w:rFonts w:ascii="Arial" w:hAnsi="Arial" w:cs="Arial"/>
                <w:bCs/>
                <w:color w:val="000000" w:themeColor="text1"/>
                <w:sz w:val="20"/>
                <w:szCs w:val="20"/>
              </w:rPr>
            </w:pPr>
          </w:p>
        </w:tc>
      </w:tr>
    </w:tbl>
    <w:p w14:paraId="7CC68D71" w14:textId="77777777" w:rsidR="001A4D61" w:rsidRDefault="001A4D61" w:rsidP="00D66252">
      <w:pPr>
        <w:spacing w:after="120" w:line="276" w:lineRule="auto"/>
        <w:jc w:val="both"/>
        <w:rPr>
          <w:rFonts w:ascii="Arial" w:hAnsi="Arial" w:cs="Arial"/>
          <w:bCs/>
          <w:color w:val="000000" w:themeColor="text1"/>
          <w:sz w:val="20"/>
          <w:szCs w:val="20"/>
        </w:rPr>
      </w:pPr>
    </w:p>
    <w:p w14:paraId="039845DE" w14:textId="77777777" w:rsidR="00D66252" w:rsidRPr="00DF0A32" w:rsidRDefault="00D66252" w:rsidP="00E2640A">
      <w:pPr>
        <w:numPr>
          <w:ilvl w:val="0"/>
          <w:numId w:val="4"/>
        </w:numPr>
        <w:spacing w:after="120" w:line="276" w:lineRule="auto"/>
        <w:ind w:left="284" w:hanging="357"/>
        <w:jc w:val="both"/>
        <w:rPr>
          <w:rFonts w:ascii="Arial" w:hAnsi="Arial" w:cs="Arial"/>
          <w:bCs/>
          <w:color w:val="000000" w:themeColor="text1"/>
          <w:sz w:val="20"/>
          <w:szCs w:val="20"/>
        </w:rPr>
      </w:pPr>
      <w:r w:rsidRPr="00DF0A32">
        <w:rPr>
          <w:rFonts w:ascii="Arial" w:hAnsi="Arial" w:cs="Arial"/>
          <w:bCs/>
          <w:color w:val="000000" w:themeColor="text1"/>
          <w:sz w:val="20"/>
          <w:szCs w:val="20"/>
        </w:rPr>
        <w:t xml:space="preserve">Nella precedente edizione è stato introdotto uno sconto “nuove adesioni” che il Fornitore sarà obbligato a riconoscere alle PA non obbligate in via assoluta </w:t>
      </w:r>
      <w:proofErr w:type="gramStart"/>
      <w:r w:rsidRPr="00DF0A32">
        <w:rPr>
          <w:rFonts w:ascii="Arial" w:hAnsi="Arial" w:cs="Arial"/>
          <w:bCs/>
          <w:color w:val="000000" w:themeColor="text1"/>
          <w:sz w:val="20"/>
          <w:szCs w:val="20"/>
        </w:rPr>
        <w:t>ad</w:t>
      </w:r>
      <w:proofErr w:type="gramEnd"/>
      <w:r w:rsidRPr="00DF0A32">
        <w:rPr>
          <w:rFonts w:ascii="Arial" w:hAnsi="Arial" w:cs="Arial"/>
          <w:bCs/>
          <w:color w:val="000000" w:themeColor="text1"/>
          <w:sz w:val="20"/>
          <w:szCs w:val="20"/>
        </w:rPr>
        <w:t xml:space="preserve"> aderire agli strumenti messi a disposizione da Consip e che non hanno aderito ad alcuna delle ultime tre edizioni dell’iniziativa. Inoltre, è stata introdotta una lettera di presentazione della Convenzione che il Fornitore di ciascun lotto dovrà inviare ai Comuni e alle Province del lotto. Ritenete sostenibili questi elementi?</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054D8B39" w14:textId="77777777" w:rsidTr="004A1637">
        <w:trPr>
          <w:trHeight w:val="1824"/>
        </w:trPr>
        <w:tc>
          <w:tcPr>
            <w:tcW w:w="8642" w:type="dxa"/>
            <w:shd w:val="clear" w:color="auto" w:fill="F2F2F2" w:themeFill="background1" w:themeFillShade="F2"/>
          </w:tcPr>
          <w:p w14:paraId="03BD03F5" w14:textId="77777777" w:rsidR="00D66252" w:rsidRPr="00D8001D" w:rsidRDefault="00D66252" w:rsidP="004A0FEA">
            <w:pPr>
              <w:jc w:val="both"/>
              <w:rPr>
                <w:rFonts w:ascii="Arial" w:hAnsi="Arial" w:cs="Arial"/>
                <w:bCs/>
                <w:color w:val="000000" w:themeColor="text1"/>
                <w:sz w:val="20"/>
                <w:szCs w:val="20"/>
              </w:rPr>
            </w:pPr>
          </w:p>
        </w:tc>
      </w:tr>
    </w:tbl>
    <w:p w14:paraId="0AE2CC8C" w14:textId="77777777" w:rsidR="00D66252" w:rsidRDefault="00D66252" w:rsidP="00D66252">
      <w:pPr>
        <w:spacing w:after="120" w:line="276" w:lineRule="auto"/>
        <w:ind w:left="284"/>
        <w:jc w:val="both"/>
        <w:rPr>
          <w:rFonts w:ascii="Arial" w:hAnsi="Arial" w:cs="Arial"/>
          <w:bCs/>
          <w:color w:val="000000" w:themeColor="text1"/>
          <w:sz w:val="20"/>
          <w:szCs w:val="20"/>
          <w:highlight w:val="yellow"/>
        </w:rPr>
      </w:pPr>
    </w:p>
    <w:p w14:paraId="39CDCB3C" w14:textId="41053D98" w:rsidR="00D66252" w:rsidRPr="00F71C0B" w:rsidRDefault="00D66252" w:rsidP="00B13B8E">
      <w:pPr>
        <w:numPr>
          <w:ilvl w:val="0"/>
          <w:numId w:val="4"/>
        </w:numPr>
        <w:spacing w:after="120" w:line="276" w:lineRule="auto"/>
        <w:ind w:left="284" w:hanging="357"/>
        <w:jc w:val="both"/>
        <w:rPr>
          <w:rFonts w:ascii="Arial" w:hAnsi="Arial" w:cs="Arial"/>
          <w:bCs/>
          <w:color w:val="000000" w:themeColor="text1"/>
          <w:sz w:val="20"/>
          <w:szCs w:val="20"/>
        </w:rPr>
      </w:pPr>
      <w:r w:rsidRPr="00F71C0B">
        <w:rPr>
          <w:rFonts w:ascii="Arial" w:hAnsi="Arial" w:cs="Arial"/>
          <w:bCs/>
          <w:color w:val="000000" w:themeColor="text1"/>
          <w:sz w:val="20"/>
          <w:szCs w:val="20"/>
        </w:rPr>
        <w:t>Al fine di ridurre l</w:t>
      </w:r>
      <w:r w:rsidR="00A20B72" w:rsidRPr="00F71C0B">
        <w:rPr>
          <w:rFonts w:ascii="Arial" w:hAnsi="Arial" w:cs="Arial"/>
          <w:bCs/>
          <w:color w:val="000000" w:themeColor="text1"/>
          <w:sz w:val="20"/>
          <w:szCs w:val="20"/>
        </w:rPr>
        <w:t xml:space="preserve">’errata </w:t>
      </w:r>
      <w:r w:rsidR="00B817DE" w:rsidRPr="00F71C0B">
        <w:rPr>
          <w:rFonts w:ascii="Arial" w:hAnsi="Arial" w:cs="Arial"/>
          <w:bCs/>
          <w:color w:val="000000" w:themeColor="text1"/>
          <w:sz w:val="20"/>
          <w:szCs w:val="20"/>
        </w:rPr>
        <w:t>compilazione degli allegati obbligatori e la</w:t>
      </w:r>
      <w:r w:rsidRPr="00F71C0B">
        <w:rPr>
          <w:rFonts w:ascii="Arial" w:hAnsi="Arial" w:cs="Arial"/>
          <w:bCs/>
          <w:color w:val="000000" w:themeColor="text1"/>
          <w:sz w:val="20"/>
          <w:szCs w:val="20"/>
        </w:rPr>
        <w:t xml:space="preserve"> non corretta previsione dei fabbisogni da parte della PA, si sta valutando l’introduzione di una </w:t>
      </w:r>
      <w:r w:rsidR="00684326">
        <w:rPr>
          <w:rFonts w:ascii="Arial" w:hAnsi="Arial" w:cs="Arial"/>
          <w:bCs/>
          <w:color w:val="000000" w:themeColor="text1"/>
          <w:sz w:val="20"/>
          <w:szCs w:val="20"/>
        </w:rPr>
        <w:t>“</w:t>
      </w:r>
      <w:r w:rsidRPr="00F71C0B">
        <w:rPr>
          <w:rFonts w:ascii="Arial" w:hAnsi="Arial" w:cs="Arial"/>
          <w:bCs/>
          <w:color w:val="000000" w:themeColor="text1"/>
          <w:sz w:val="20"/>
          <w:szCs w:val="20"/>
        </w:rPr>
        <w:t xml:space="preserve">guida alla </w:t>
      </w:r>
      <w:r w:rsidR="00A37B11">
        <w:rPr>
          <w:rFonts w:ascii="Arial" w:hAnsi="Arial" w:cs="Arial"/>
          <w:bCs/>
          <w:color w:val="000000" w:themeColor="text1"/>
          <w:sz w:val="20"/>
          <w:szCs w:val="20"/>
        </w:rPr>
        <w:t>fattura</w:t>
      </w:r>
      <w:r w:rsidR="00684326">
        <w:rPr>
          <w:rFonts w:ascii="Arial" w:hAnsi="Arial" w:cs="Arial"/>
          <w:bCs/>
          <w:color w:val="000000" w:themeColor="text1"/>
          <w:sz w:val="20"/>
          <w:szCs w:val="20"/>
        </w:rPr>
        <w:t>”</w:t>
      </w:r>
      <w:r w:rsidRPr="00F71C0B">
        <w:rPr>
          <w:rFonts w:ascii="Arial" w:hAnsi="Arial" w:cs="Arial"/>
          <w:bCs/>
          <w:color w:val="000000" w:themeColor="text1"/>
          <w:sz w:val="20"/>
          <w:szCs w:val="20"/>
        </w:rPr>
        <w:t xml:space="preserve"> che il Fornitore dovrà includere nell'Allegato 1 e 2 al fine di facilitare le Pubbliche Amministrazioni nel calcolo della miglior stima del quantitativo della fornitura richiesta, in particolare per determinare il consumo stimato sulla base dei dati storici riportati nelle bollette pregresse. Ritenete sostenibile </w:t>
      </w:r>
      <w:r w:rsidR="005723CA">
        <w:rPr>
          <w:rFonts w:ascii="Arial" w:hAnsi="Arial" w:cs="Arial"/>
          <w:bCs/>
          <w:color w:val="000000" w:themeColor="text1"/>
          <w:sz w:val="20"/>
          <w:szCs w:val="20"/>
        </w:rPr>
        <w:t xml:space="preserve">l’introduzione di </w:t>
      </w:r>
      <w:r w:rsidRPr="00F71C0B">
        <w:rPr>
          <w:rFonts w:ascii="Arial" w:hAnsi="Arial" w:cs="Arial"/>
          <w:bCs/>
          <w:color w:val="000000" w:themeColor="text1"/>
          <w:sz w:val="20"/>
          <w:szCs w:val="20"/>
        </w:rPr>
        <w:t>questo elemento?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31BB21B7" w14:textId="77777777" w:rsidTr="004A1637">
        <w:trPr>
          <w:trHeight w:val="1824"/>
        </w:trPr>
        <w:tc>
          <w:tcPr>
            <w:tcW w:w="8642" w:type="dxa"/>
            <w:shd w:val="clear" w:color="auto" w:fill="F2F2F2" w:themeFill="background1" w:themeFillShade="F2"/>
          </w:tcPr>
          <w:p w14:paraId="7640DF15" w14:textId="77777777" w:rsidR="00D66252" w:rsidRPr="00D8001D" w:rsidRDefault="00D66252" w:rsidP="004A0FEA">
            <w:pPr>
              <w:jc w:val="both"/>
              <w:rPr>
                <w:rFonts w:ascii="Arial" w:hAnsi="Arial" w:cs="Arial"/>
                <w:bCs/>
                <w:color w:val="000000" w:themeColor="text1"/>
                <w:sz w:val="20"/>
                <w:szCs w:val="20"/>
              </w:rPr>
            </w:pPr>
          </w:p>
        </w:tc>
      </w:tr>
    </w:tbl>
    <w:p w14:paraId="73093155" w14:textId="77777777" w:rsidR="00D66252" w:rsidRPr="00513886" w:rsidRDefault="00D66252" w:rsidP="00D66252">
      <w:pPr>
        <w:spacing w:after="120" w:line="276" w:lineRule="auto"/>
        <w:ind w:left="284"/>
        <w:jc w:val="both"/>
        <w:rPr>
          <w:rFonts w:ascii="Arial" w:hAnsi="Arial" w:cs="Arial"/>
          <w:bCs/>
          <w:color w:val="000000" w:themeColor="text1"/>
          <w:sz w:val="20"/>
          <w:szCs w:val="20"/>
          <w:highlight w:val="yellow"/>
        </w:rPr>
      </w:pPr>
    </w:p>
    <w:p w14:paraId="42B69180" w14:textId="0B2986FF" w:rsidR="00D66252" w:rsidRPr="00F71C0B" w:rsidRDefault="00D66252" w:rsidP="00657B83">
      <w:pPr>
        <w:numPr>
          <w:ilvl w:val="0"/>
          <w:numId w:val="4"/>
        </w:numPr>
        <w:spacing w:after="120" w:line="276" w:lineRule="auto"/>
        <w:ind w:left="284" w:hanging="357"/>
        <w:jc w:val="both"/>
        <w:rPr>
          <w:rFonts w:ascii="Arial" w:hAnsi="Arial" w:cs="Arial"/>
          <w:bCs/>
          <w:color w:val="000000" w:themeColor="text1"/>
          <w:sz w:val="20"/>
          <w:szCs w:val="20"/>
        </w:rPr>
      </w:pPr>
      <w:r w:rsidRPr="00F71C0B">
        <w:rPr>
          <w:rFonts w:ascii="Arial" w:hAnsi="Arial" w:cs="Arial"/>
          <w:bCs/>
          <w:color w:val="000000" w:themeColor="text1"/>
          <w:sz w:val="20"/>
          <w:szCs w:val="20"/>
        </w:rPr>
        <w:t xml:space="preserve">Per l’edizione in oggetto, si sta valutando l’introduzione di uno sconto “consumi conformi” che il Fornitore sarà tenuto a riconoscere alle Amministrazioni che abbiano correttamente indicato nell’Allegato all’ODA la miglior stima dei quantitativi della fornitura richiesta e per i quali, alla chiusura del Contratto Attuativo, i consumi effettivi risultino coerenti con quelli dichiarati, con uno scostamento massimo consentito pari a ±5%. </w:t>
      </w:r>
      <w:r w:rsidR="00657B83">
        <w:rPr>
          <w:rFonts w:ascii="Arial" w:hAnsi="Arial" w:cs="Arial"/>
          <w:bCs/>
          <w:color w:val="000000" w:themeColor="text1"/>
          <w:sz w:val="20"/>
          <w:szCs w:val="20"/>
        </w:rPr>
        <w:t>Lo sconto verrà riconosciuto nell’ultima fattura</w:t>
      </w:r>
      <w:r w:rsidR="001149AB">
        <w:rPr>
          <w:rFonts w:ascii="Arial" w:hAnsi="Arial" w:cs="Arial"/>
          <w:bCs/>
          <w:color w:val="000000" w:themeColor="text1"/>
          <w:sz w:val="20"/>
          <w:szCs w:val="20"/>
        </w:rPr>
        <w:t xml:space="preserve"> a chiusura del Contratt</w:t>
      </w:r>
      <w:r w:rsidR="005465D0">
        <w:rPr>
          <w:rFonts w:ascii="Arial" w:hAnsi="Arial" w:cs="Arial"/>
          <w:bCs/>
          <w:color w:val="000000" w:themeColor="text1"/>
          <w:sz w:val="20"/>
          <w:szCs w:val="20"/>
        </w:rPr>
        <w:t>o</w:t>
      </w:r>
      <w:r w:rsidR="00657B83">
        <w:rPr>
          <w:rFonts w:ascii="Arial" w:hAnsi="Arial" w:cs="Arial"/>
          <w:bCs/>
          <w:color w:val="000000" w:themeColor="text1"/>
          <w:sz w:val="20"/>
          <w:szCs w:val="20"/>
        </w:rPr>
        <w:t xml:space="preserve">. </w:t>
      </w:r>
      <w:r w:rsidRPr="00F71C0B">
        <w:rPr>
          <w:rFonts w:ascii="Arial" w:hAnsi="Arial" w:cs="Arial"/>
          <w:bCs/>
          <w:color w:val="000000" w:themeColor="text1"/>
          <w:sz w:val="20"/>
          <w:szCs w:val="20"/>
        </w:rPr>
        <w:t xml:space="preserve">Ritenete sostenibile </w:t>
      </w:r>
      <w:r w:rsidR="00E6417B">
        <w:rPr>
          <w:rFonts w:ascii="Arial" w:hAnsi="Arial" w:cs="Arial"/>
          <w:bCs/>
          <w:color w:val="000000" w:themeColor="text1"/>
          <w:sz w:val="20"/>
          <w:szCs w:val="20"/>
        </w:rPr>
        <w:t xml:space="preserve">l’introduzione di </w:t>
      </w:r>
      <w:r w:rsidRPr="00F71C0B">
        <w:rPr>
          <w:rFonts w:ascii="Arial" w:hAnsi="Arial" w:cs="Arial"/>
          <w:bCs/>
          <w:color w:val="000000" w:themeColor="text1"/>
          <w:sz w:val="20"/>
          <w:szCs w:val="20"/>
        </w:rPr>
        <w:t>questo elemento?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0F042B48" w14:textId="77777777" w:rsidTr="004A1637">
        <w:trPr>
          <w:trHeight w:val="1824"/>
        </w:trPr>
        <w:tc>
          <w:tcPr>
            <w:tcW w:w="8642" w:type="dxa"/>
            <w:shd w:val="clear" w:color="auto" w:fill="F2F2F2" w:themeFill="background1" w:themeFillShade="F2"/>
          </w:tcPr>
          <w:p w14:paraId="70F8ACA5" w14:textId="77777777" w:rsidR="00D66252" w:rsidRPr="00D8001D" w:rsidRDefault="00D66252" w:rsidP="004A0FEA">
            <w:pPr>
              <w:jc w:val="both"/>
              <w:rPr>
                <w:rFonts w:ascii="Arial" w:hAnsi="Arial" w:cs="Arial"/>
                <w:bCs/>
                <w:color w:val="000000" w:themeColor="text1"/>
                <w:sz w:val="20"/>
                <w:szCs w:val="20"/>
              </w:rPr>
            </w:pPr>
          </w:p>
        </w:tc>
      </w:tr>
    </w:tbl>
    <w:p w14:paraId="2DFD2E04" w14:textId="77777777" w:rsidR="00D66252" w:rsidRPr="004D51E7" w:rsidRDefault="00D66252" w:rsidP="00BD3BDE">
      <w:pPr>
        <w:spacing w:after="120" w:line="276" w:lineRule="auto"/>
        <w:ind w:left="360"/>
        <w:jc w:val="both"/>
        <w:rPr>
          <w:rFonts w:ascii="Arial" w:hAnsi="Arial" w:cs="Arial"/>
          <w:bCs/>
          <w:color w:val="000000" w:themeColor="text1"/>
          <w:sz w:val="20"/>
          <w:szCs w:val="20"/>
        </w:rPr>
      </w:pPr>
    </w:p>
    <w:p w14:paraId="6A92B12A" w14:textId="2DBE03D1" w:rsidR="00AF3BF6" w:rsidRPr="004D51E7" w:rsidRDefault="00F526A2" w:rsidP="00E6417B">
      <w:pPr>
        <w:numPr>
          <w:ilvl w:val="0"/>
          <w:numId w:val="4"/>
        </w:numPr>
        <w:spacing w:after="120" w:line="276" w:lineRule="auto"/>
        <w:ind w:left="284" w:hanging="357"/>
        <w:jc w:val="both"/>
        <w:rPr>
          <w:rFonts w:ascii="Arial" w:hAnsi="Arial" w:cs="Arial"/>
          <w:bCs/>
          <w:color w:val="000000" w:themeColor="text1"/>
          <w:sz w:val="20"/>
          <w:szCs w:val="20"/>
        </w:rPr>
      </w:pPr>
      <w:r w:rsidRPr="004D51E7">
        <w:rPr>
          <w:rFonts w:ascii="Arial" w:hAnsi="Arial" w:cs="Arial"/>
          <w:bCs/>
          <w:color w:val="000000" w:themeColor="text1"/>
          <w:sz w:val="20"/>
          <w:szCs w:val="20"/>
        </w:rPr>
        <w:t>Per l’edizione in oggetto, si sta valutando l’introduzione</w:t>
      </w:r>
      <w:r w:rsidR="00E6417B">
        <w:rPr>
          <w:rFonts w:ascii="Arial" w:hAnsi="Arial" w:cs="Arial"/>
          <w:bCs/>
          <w:color w:val="000000" w:themeColor="text1"/>
          <w:sz w:val="20"/>
          <w:szCs w:val="20"/>
        </w:rPr>
        <w:t xml:space="preserve">, </w:t>
      </w:r>
      <w:r w:rsidR="008A13B2">
        <w:rPr>
          <w:rFonts w:ascii="Arial" w:hAnsi="Arial" w:cs="Arial"/>
          <w:bCs/>
          <w:color w:val="000000" w:themeColor="text1"/>
          <w:sz w:val="20"/>
          <w:szCs w:val="20"/>
        </w:rPr>
        <w:t xml:space="preserve">a </w:t>
      </w:r>
      <w:r w:rsidR="00E6417B">
        <w:rPr>
          <w:rFonts w:ascii="Arial" w:hAnsi="Arial" w:cs="Arial"/>
          <w:bCs/>
          <w:color w:val="000000" w:themeColor="text1"/>
          <w:sz w:val="20"/>
          <w:szCs w:val="20"/>
        </w:rPr>
        <w:t>carico del fornitore</w:t>
      </w:r>
      <w:r w:rsidR="0001059E">
        <w:rPr>
          <w:rFonts w:ascii="Arial" w:hAnsi="Arial" w:cs="Arial"/>
          <w:bCs/>
          <w:color w:val="000000" w:themeColor="text1"/>
          <w:sz w:val="20"/>
          <w:szCs w:val="20"/>
        </w:rPr>
        <w:t>,</w:t>
      </w:r>
      <w:r w:rsidRPr="004D51E7">
        <w:rPr>
          <w:rFonts w:ascii="Arial" w:hAnsi="Arial" w:cs="Arial"/>
          <w:bCs/>
          <w:color w:val="000000" w:themeColor="text1"/>
          <w:sz w:val="20"/>
          <w:szCs w:val="20"/>
        </w:rPr>
        <w:t xml:space="preserve"> </w:t>
      </w:r>
      <w:r w:rsidR="006E1C93" w:rsidRPr="004D51E7">
        <w:rPr>
          <w:rFonts w:ascii="Arial" w:hAnsi="Arial" w:cs="Arial"/>
          <w:bCs/>
          <w:color w:val="000000" w:themeColor="text1"/>
          <w:sz w:val="20"/>
          <w:szCs w:val="20"/>
        </w:rPr>
        <w:t>di un</w:t>
      </w:r>
      <w:r w:rsidR="008308A1" w:rsidRPr="004D51E7">
        <w:rPr>
          <w:rFonts w:ascii="Arial" w:hAnsi="Arial" w:cs="Arial"/>
          <w:bCs/>
          <w:color w:val="000000" w:themeColor="text1"/>
          <w:sz w:val="20"/>
          <w:szCs w:val="20"/>
        </w:rPr>
        <w:t xml:space="preserve"> </w:t>
      </w:r>
      <w:r w:rsidR="004A6E47" w:rsidRPr="004D51E7">
        <w:rPr>
          <w:rFonts w:ascii="Arial" w:hAnsi="Arial" w:cs="Arial"/>
          <w:bCs/>
          <w:color w:val="000000" w:themeColor="text1"/>
          <w:sz w:val="20"/>
          <w:szCs w:val="20"/>
        </w:rPr>
        <w:t>Referente</w:t>
      </w:r>
      <w:r w:rsidR="00FE7082" w:rsidRPr="004D51E7">
        <w:rPr>
          <w:rFonts w:ascii="Arial" w:hAnsi="Arial" w:cs="Arial"/>
          <w:bCs/>
          <w:color w:val="000000" w:themeColor="text1"/>
          <w:sz w:val="20"/>
          <w:szCs w:val="20"/>
        </w:rPr>
        <w:t xml:space="preserve"> dedicato </w:t>
      </w:r>
      <w:r w:rsidR="001B02F5" w:rsidRPr="004D51E7">
        <w:rPr>
          <w:rFonts w:ascii="Arial" w:hAnsi="Arial" w:cs="Arial"/>
          <w:bCs/>
          <w:color w:val="000000" w:themeColor="text1"/>
          <w:sz w:val="20"/>
          <w:szCs w:val="20"/>
        </w:rPr>
        <w:t xml:space="preserve">ai </w:t>
      </w:r>
      <w:r w:rsidR="00FE7082" w:rsidRPr="004D51E7">
        <w:rPr>
          <w:rFonts w:ascii="Arial" w:hAnsi="Arial" w:cs="Arial"/>
          <w:bCs/>
          <w:color w:val="000000" w:themeColor="text1"/>
          <w:sz w:val="20"/>
          <w:szCs w:val="20"/>
        </w:rPr>
        <w:t>Piccoli Comuni</w:t>
      </w:r>
      <w:r w:rsidR="00287FA0" w:rsidRPr="004D51E7">
        <w:rPr>
          <w:rFonts w:ascii="Arial" w:hAnsi="Arial" w:cs="Arial"/>
          <w:bCs/>
          <w:color w:val="000000" w:themeColor="text1"/>
          <w:sz w:val="20"/>
          <w:szCs w:val="20"/>
        </w:rPr>
        <w:t xml:space="preserve"> (popolazione &lt;</w:t>
      </w:r>
      <w:r w:rsidR="0037761D" w:rsidRPr="004D51E7">
        <w:rPr>
          <w:rFonts w:ascii="Arial" w:hAnsi="Arial" w:cs="Arial"/>
          <w:bCs/>
          <w:color w:val="000000" w:themeColor="text1"/>
          <w:sz w:val="20"/>
          <w:szCs w:val="20"/>
        </w:rPr>
        <w:t xml:space="preserve"> </w:t>
      </w:r>
      <w:r w:rsidR="00287FA0" w:rsidRPr="004D51E7">
        <w:rPr>
          <w:rFonts w:ascii="Arial" w:hAnsi="Arial" w:cs="Arial"/>
          <w:bCs/>
          <w:color w:val="000000" w:themeColor="text1"/>
          <w:sz w:val="20"/>
          <w:szCs w:val="20"/>
        </w:rPr>
        <w:t>5000 abitanti)</w:t>
      </w:r>
      <w:r w:rsidR="001B02F5" w:rsidRPr="004D51E7">
        <w:rPr>
          <w:rFonts w:ascii="Arial" w:hAnsi="Arial" w:cs="Arial"/>
          <w:bCs/>
          <w:color w:val="000000" w:themeColor="text1"/>
          <w:sz w:val="20"/>
          <w:szCs w:val="20"/>
        </w:rPr>
        <w:t>. La figura dovrà</w:t>
      </w:r>
      <w:r w:rsidR="00287FA0" w:rsidRPr="004D51E7">
        <w:rPr>
          <w:rFonts w:ascii="Arial" w:hAnsi="Arial" w:cs="Arial"/>
          <w:bCs/>
          <w:color w:val="000000" w:themeColor="text1"/>
          <w:sz w:val="20"/>
          <w:szCs w:val="20"/>
        </w:rPr>
        <w:t xml:space="preserve"> </w:t>
      </w:r>
      <w:r w:rsidR="0037761D" w:rsidRPr="004D51E7">
        <w:rPr>
          <w:rFonts w:ascii="Arial" w:hAnsi="Arial" w:cs="Arial"/>
          <w:bCs/>
          <w:color w:val="000000" w:themeColor="text1"/>
          <w:sz w:val="20"/>
          <w:szCs w:val="20"/>
        </w:rPr>
        <w:t>occuparsi</w:t>
      </w:r>
      <w:r w:rsidR="00DC727C" w:rsidRPr="004D51E7">
        <w:rPr>
          <w:rFonts w:ascii="Arial" w:hAnsi="Arial" w:cs="Arial"/>
          <w:bCs/>
          <w:color w:val="000000" w:themeColor="text1"/>
          <w:sz w:val="20"/>
          <w:szCs w:val="20"/>
        </w:rPr>
        <w:t xml:space="preserve"> di promuovere l’iniziativa presso gli Enti non aderenti e di fornire supporto durante la fase di adesione</w:t>
      </w:r>
      <w:r w:rsidR="004D51E7" w:rsidRPr="004D51E7">
        <w:rPr>
          <w:rFonts w:ascii="Arial" w:hAnsi="Arial" w:cs="Arial"/>
          <w:bCs/>
          <w:color w:val="000000" w:themeColor="text1"/>
          <w:sz w:val="20"/>
          <w:szCs w:val="20"/>
        </w:rPr>
        <w:t>.</w:t>
      </w:r>
      <w:r w:rsidRPr="004D51E7">
        <w:rPr>
          <w:rFonts w:ascii="Arial" w:hAnsi="Arial" w:cs="Arial"/>
          <w:bCs/>
          <w:color w:val="000000" w:themeColor="text1"/>
          <w:sz w:val="20"/>
          <w:szCs w:val="20"/>
        </w:rPr>
        <w:t xml:space="preserve"> Ritenete sostenibile </w:t>
      </w:r>
      <w:r w:rsidR="0001059E">
        <w:rPr>
          <w:rFonts w:ascii="Arial" w:hAnsi="Arial" w:cs="Arial"/>
          <w:bCs/>
          <w:color w:val="000000" w:themeColor="text1"/>
          <w:sz w:val="20"/>
          <w:szCs w:val="20"/>
        </w:rPr>
        <w:t xml:space="preserve">l’introduzione di </w:t>
      </w:r>
      <w:r w:rsidRPr="004D51E7">
        <w:rPr>
          <w:rFonts w:ascii="Arial" w:hAnsi="Arial" w:cs="Arial"/>
          <w:bCs/>
          <w:color w:val="000000" w:themeColor="text1"/>
          <w:sz w:val="20"/>
          <w:szCs w:val="20"/>
        </w:rPr>
        <w:t>questo elemento?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BD3BDE" w:rsidRPr="00D8001D" w14:paraId="61BF6455" w14:textId="77777777" w:rsidTr="004A1637">
        <w:trPr>
          <w:trHeight w:val="1824"/>
        </w:trPr>
        <w:tc>
          <w:tcPr>
            <w:tcW w:w="8642" w:type="dxa"/>
            <w:shd w:val="clear" w:color="auto" w:fill="F2F2F2" w:themeFill="background1" w:themeFillShade="F2"/>
          </w:tcPr>
          <w:p w14:paraId="1C2C121B" w14:textId="77777777" w:rsidR="00BD3BDE" w:rsidRPr="00D8001D" w:rsidRDefault="00BD3BDE" w:rsidP="004A0FEA">
            <w:pPr>
              <w:jc w:val="both"/>
              <w:rPr>
                <w:rFonts w:ascii="Arial" w:hAnsi="Arial" w:cs="Arial"/>
                <w:bCs/>
                <w:color w:val="000000" w:themeColor="text1"/>
                <w:sz w:val="20"/>
                <w:szCs w:val="20"/>
              </w:rPr>
            </w:pPr>
          </w:p>
        </w:tc>
      </w:tr>
    </w:tbl>
    <w:p w14:paraId="3F364EEC" w14:textId="77777777" w:rsidR="00F526A2" w:rsidRPr="00B463FB" w:rsidRDefault="00F526A2" w:rsidP="00D66252">
      <w:pPr>
        <w:rPr>
          <w:b/>
          <w:bCs/>
          <w:u w:val="single"/>
        </w:rPr>
      </w:pPr>
    </w:p>
    <w:p w14:paraId="7E45C622" w14:textId="45DC8D69" w:rsidR="00FC282B" w:rsidRDefault="00D66252" w:rsidP="0001059E">
      <w:pPr>
        <w:numPr>
          <w:ilvl w:val="0"/>
          <w:numId w:val="4"/>
        </w:numPr>
        <w:spacing w:after="120" w:line="276" w:lineRule="auto"/>
        <w:ind w:left="284" w:hanging="357"/>
        <w:jc w:val="both"/>
        <w:rPr>
          <w:rFonts w:ascii="Arial" w:hAnsi="Arial" w:cs="Arial"/>
          <w:color w:val="000000"/>
          <w:sz w:val="20"/>
        </w:rPr>
      </w:pPr>
      <w:r w:rsidRPr="00B463FB">
        <w:rPr>
          <w:rFonts w:ascii="Arial" w:hAnsi="Arial" w:cs="Arial"/>
          <w:color w:val="000000"/>
          <w:sz w:val="20"/>
        </w:rPr>
        <w:t xml:space="preserve">Per questa edizione si sta valutando di richiedere al fornitore aggiudicatario </w:t>
      </w:r>
      <w:r w:rsidR="00464D26" w:rsidRPr="00B463FB">
        <w:rPr>
          <w:rFonts w:ascii="Arial" w:hAnsi="Arial" w:cs="Arial"/>
          <w:color w:val="000000"/>
          <w:sz w:val="20"/>
        </w:rPr>
        <w:t>un piano di comunicazione</w:t>
      </w:r>
      <w:r w:rsidR="00A27E5F" w:rsidRPr="00B463FB">
        <w:rPr>
          <w:rFonts w:ascii="Arial" w:hAnsi="Arial" w:cs="Arial"/>
          <w:color w:val="000000"/>
          <w:sz w:val="20"/>
        </w:rPr>
        <w:t xml:space="preserve"> e promozione </w:t>
      </w:r>
      <w:r w:rsidRPr="00B463FB">
        <w:rPr>
          <w:rFonts w:ascii="Arial" w:hAnsi="Arial" w:cs="Arial"/>
          <w:color w:val="000000"/>
          <w:sz w:val="20"/>
        </w:rPr>
        <w:t>tramite</w:t>
      </w:r>
      <w:r w:rsidR="00EA75C9">
        <w:rPr>
          <w:rFonts w:ascii="Arial" w:hAnsi="Arial" w:cs="Arial"/>
          <w:color w:val="000000"/>
          <w:sz w:val="20"/>
        </w:rPr>
        <w:t>:</w:t>
      </w:r>
      <w:r w:rsidRPr="00B463FB">
        <w:rPr>
          <w:rFonts w:ascii="Arial" w:hAnsi="Arial" w:cs="Arial"/>
          <w:color w:val="000000"/>
          <w:sz w:val="20"/>
        </w:rPr>
        <w:t xml:space="preserve"> canali web, comunicati stampa</w:t>
      </w:r>
      <w:r w:rsidR="00EA75C9">
        <w:rPr>
          <w:rFonts w:ascii="Arial" w:hAnsi="Arial" w:cs="Arial"/>
          <w:color w:val="000000"/>
          <w:sz w:val="20"/>
        </w:rPr>
        <w:t xml:space="preserve"> e</w:t>
      </w:r>
      <w:r w:rsidRPr="00B463FB">
        <w:rPr>
          <w:rFonts w:ascii="Arial" w:hAnsi="Arial" w:cs="Arial"/>
          <w:color w:val="000000"/>
          <w:sz w:val="20"/>
        </w:rPr>
        <w:t xml:space="preserve"> </w:t>
      </w:r>
      <w:r w:rsidR="00EA75C9" w:rsidRPr="00022614">
        <w:rPr>
          <w:rFonts w:ascii="Arial" w:hAnsi="Arial" w:cs="Arial"/>
          <w:color w:val="000000"/>
          <w:sz w:val="20"/>
        </w:rPr>
        <w:t>divulgazione</w:t>
      </w:r>
      <w:r w:rsidR="00EA75C9" w:rsidRPr="00B5254C">
        <w:rPr>
          <w:rFonts w:ascii="Arial" w:hAnsi="Arial" w:cs="Arial"/>
          <w:color w:val="000000"/>
          <w:sz w:val="20"/>
        </w:rPr>
        <w:t xml:space="preserve"> in occasione di </w:t>
      </w:r>
      <w:r w:rsidR="00EA75C9" w:rsidRPr="00022614">
        <w:rPr>
          <w:rFonts w:ascii="Arial" w:hAnsi="Arial" w:cs="Arial"/>
          <w:color w:val="000000"/>
          <w:sz w:val="20"/>
        </w:rPr>
        <w:t>eventi</w:t>
      </w:r>
      <w:r w:rsidR="00EA75C9" w:rsidRPr="00B5254C">
        <w:rPr>
          <w:rFonts w:ascii="Arial" w:hAnsi="Arial" w:cs="Arial"/>
          <w:color w:val="000000"/>
          <w:sz w:val="20"/>
        </w:rPr>
        <w:t xml:space="preserve"> propri e/o di settore</w:t>
      </w:r>
      <w:r w:rsidR="00244C4C">
        <w:rPr>
          <w:rFonts w:ascii="Arial" w:hAnsi="Arial" w:cs="Arial"/>
          <w:color w:val="000000"/>
          <w:sz w:val="20"/>
        </w:rPr>
        <w:t>,</w:t>
      </w:r>
      <w:r w:rsidR="00EA75C9" w:rsidRPr="00B463FB">
        <w:rPr>
          <w:rFonts w:ascii="Arial" w:hAnsi="Arial" w:cs="Arial"/>
          <w:color w:val="000000"/>
          <w:sz w:val="20"/>
        </w:rPr>
        <w:t xml:space="preserve"> </w:t>
      </w:r>
      <w:r w:rsidRPr="00B463FB">
        <w:rPr>
          <w:rFonts w:ascii="Arial" w:hAnsi="Arial" w:cs="Arial"/>
          <w:color w:val="000000"/>
          <w:sz w:val="20"/>
        </w:rPr>
        <w:t xml:space="preserve">per favorire l'adesione delle </w:t>
      </w:r>
      <w:r w:rsidR="00F346C2">
        <w:rPr>
          <w:rFonts w:ascii="Arial" w:hAnsi="Arial" w:cs="Arial"/>
          <w:color w:val="000000"/>
          <w:sz w:val="20"/>
        </w:rPr>
        <w:t xml:space="preserve">potenziali </w:t>
      </w:r>
      <w:r w:rsidRPr="00B463FB">
        <w:rPr>
          <w:rFonts w:ascii="Arial" w:hAnsi="Arial" w:cs="Arial"/>
          <w:color w:val="000000"/>
          <w:sz w:val="20"/>
        </w:rPr>
        <w:t>amministrazioni</w:t>
      </w:r>
      <w:r w:rsidR="00F346C2">
        <w:rPr>
          <w:rFonts w:ascii="Arial" w:hAnsi="Arial" w:cs="Arial"/>
          <w:color w:val="000000"/>
          <w:sz w:val="20"/>
        </w:rPr>
        <w:t xml:space="preserve"> aderenti</w:t>
      </w:r>
      <w:r w:rsidR="00EA75C9">
        <w:rPr>
          <w:rFonts w:ascii="Arial" w:hAnsi="Arial" w:cs="Arial"/>
          <w:color w:val="000000"/>
          <w:sz w:val="20"/>
        </w:rPr>
        <w:t xml:space="preserve">. </w:t>
      </w:r>
      <w:r w:rsidRPr="00B463FB">
        <w:rPr>
          <w:rFonts w:ascii="Arial" w:hAnsi="Arial" w:cs="Arial"/>
          <w:color w:val="000000"/>
          <w:sz w:val="20"/>
        </w:rPr>
        <w:t xml:space="preserve">Ritenete sostenibile </w:t>
      </w:r>
      <w:r w:rsidR="00FC282B">
        <w:rPr>
          <w:rFonts w:ascii="Arial" w:hAnsi="Arial" w:cs="Arial"/>
          <w:bCs/>
          <w:color w:val="000000" w:themeColor="text1"/>
          <w:sz w:val="20"/>
          <w:szCs w:val="20"/>
        </w:rPr>
        <w:t xml:space="preserve">l’introduzione di </w:t>
      </w:r>
      <w:r w:rsidR="00FC282B" w:rsidRPr="004D51E7">
        <w:rPr>
          <w:rFonts w:ascii="Arial" w:hAnsi="Arial" w:cs="Arial"/>
          <w:bCs/>
          <w:color w:val="000000" w:themeColor="text1"/>
          <w:sz w:val="20"/>
          <w:szCs w:val="20"/>
        </w:rPr>
        <w:t>questo elemento</w:t>
      </w:r>
      <w:r w:rsidRPr="00B463FB">
        <w:rPr>
          <w:rFonts w:ascii="Arial" w:hAnsi="Arial" w:cs="Arial"/>
          <w:color w:val="000000"/>
          <w:sz w:val="20"/>
        </w:rPr>
        <w:t>?</w:t>
      </w:r>
      <w:r w:rsidR="00B5254C" w:rsidRPr="00B5254C">
        <w:rPr>
          <w:rFonts w:ascii="Arial" w:eastAsiaTheme="minorEastAsia" w:hAnsi="Arial" w:cs="Arial"/>
          <w:color w:val="EEECE1" w:themeColor="background2"/>
          <w:kern w:val="24"/>
          <w:sz w:val="22"/>
          <w:szCs w:val="22"/>
        </w:rPr>
        <w:t xml:space="preserve"> </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292C09CF" w14:textId="77777777" w:rsidTr="004A1637">
        <w:trPr>
          <w:trHeight w:val="1824"/>
        </w:trPr>
        <w:tc>
          <w:tcPr>
            <w:tcW w:w="8642" w:type="dxa"/>
            <w:shd w:val="clear" w:color="auto" w:fill="F2F2F2" w:themeFill="background1" w:themeFillShade="F2"/>
          </w:tcPr>
          <w:p w14:paraId="466198B4" w14:textId="77777777" w:rsidR="00D66252" w:rsidRPr="00D8001D" w:rsidRDefault="00D66252" w:rsidP="00022614">
            <w:pPr>
              <w:rPr>
                <w:rFonts w:ascii="Arial" w:hAnsi="Arial" w:cs="Arial"/>
                <w:bCs/>
                <w:color w:val="000000" w:themeColor="text1"/>
                <w:sz w:val="20"/>
                <w:szCs w:val="20"/>
              </w:rPr>
            </w:pPr>
          </w:p>
        </w:tc>
      </w:tr>
    </w:tbl>
    <w:p w14:paraId="19810A91" w14:textId="77777777" w:rsidR="00D66252" w:rsidRPr="005A0D6F" w:rsidRDefault="00D66252" w:rsidP="00D66252">
      <w:pPr>
        <w:spacing w:after="120" w:line="276" w:lineRule="auto"/>
        <w:jc w:val="both"/>
        <w:rPr>
          <w:rFonts w:ascii="Arial" w:hAnsi="Arial" w:cs="Arial"/>
          <w:bCs/>
          <w:color w:val="000000" w:themeColor="text1"/>
          <w:sz w:val="20"/>
          <w:szCs w:val="20"/>
        </w:rPr>
      </w:pPr>
    </w:p>
    <w:p w14:paraId="067F1147" w14:textId="77777777" w:rsidR="00D66252" w:rsidRPr="005A0D6F" w:rsidRDefault="00D66252" w:rsidP="00FC282B">
      <w:pPr>
        <w:numPr>
          <w:ilvl w:val="0"/>
          <w:numId w:val="4"/>
        </w:numPr>
        <w:spacing w:after="120" w:line="276" w:lineRule="auto"/>
        <w:ind w:left="284" w:hanging="357"/>
        <w:jc w:val="both"/>
        <w:rPr>
          <w:rFonts w:ascii="Arial" w:hAnsi="Arial" w:cs="Arial"/>
          <w:bCs/>
          <w:color w:val="000000" w:themeColor="text1"/>
          <w:sz w:val="20"/>
          <w:szCs w:val="20"/>
          <w:lang w:val="x-none"/>
        </w:rPr>
      </w:pPr>
      <w:r w:rsidRPr="00850704">
        <w:rPr>
          <w:rFonts w:ascii="Arial" w:hAnsi="Arial" w:cs="Arial"/>
          <w:bCs/>
          <w:color w:val="000000" w:themeColor="text1"/>
          <w:sz w:val="20"/>
          <w:szCs w:val="20"/>
          <w:lang w:val="x-none"/>
        </w:rPr>
        <w:t>Quali criticità individuate nelle forniture alla PA? Quali strumenti proponete per</w:t>
      </w:r>
      <w:r w:rsidRPr="005A0D6F">
        <w:rPr>
          <w:rFonts w:ascii="Arial" w:hAnsi="Arial" w:cs="Arial"/>
          <w:bCs/>
          <w:color w:val="000000" w:themeColor="text1"/>
          <w:sz w:val="20"/>
          <w:szCs w:val="20"/>
          <w:lang w:val="x-none"/>
        </w:rPr>
        <w:t xml:space="preserve"> </w:t>
      </w:r>
      <w:r w:rsidRPr="00850704">
        <w:rPr>
          <w:rFonts w:ascii="Arial" w:hAnsi="Arial" w:cs="Arial"/>
          <w:bCs/>
          <w:color w:val="000000" w:themeColor="text1"/>
          <w:sz w:val="20"/>
          <w:szCs w:val="20"/>
          <w:lang w:val="x-none"/>
        </w:rPr>
        <w:t>superarli/migliorarli?</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04BE3ADC" w14:textId="77777777" w:rsidTr="004A1637">
        <w:trPr>
          <w:trHeight w:val="1824"/>
        </w:trPr>
        <w:tc>
          <w:tcPr>
            <w:tcW w:w="8642" w:type="dxa"/>
            <w:shd w:val="clear" w:color="auto" w:fill="F2F2F2" w:themeFill="background1" w:themeFillShade="F2"/>
          </w:tcPr>
          <w:p w14:paraId="53C697E6" w14:textId="77777777" w:rsidR="00D66252" w:rsidRPr="00D8001D" w:rsidRDefault="00D66252" w:rsidP="004A0FEA">
            <w:pPr>
              <w:jc w:val="both"/>
              <w:rPr>
                <w:rFonts w:ascii="Arial" w:hAnsi="Arial" w:cs="Arial"/>
                <w:bCs/>
                <w:color w:val="000000" w:themeColor="text1"/>
                <w:sz w:val="20"/>
                <w:szCs w:val="20"/>
              </w:rPr>
            </w:pPr>
          </w:p>
        </w:tc>
      </w:tr>
    </w:tbl>
    <w:p w14:paraId="10E4B768" w14:textId="77777777" w:rsidR="00D66252" w:rsidRPr="00D8001D" w:rsidRDefault="00D66252" w:rsidP="00D66252">
      <w:pPr>
        <w:jc w:val="both"/>
        <w:rPr>
          <w:rFonts w:ascii="Arial" w:hAnsi="Arial" w:cs="Arial"/>
          <w:i/>
          <w:color w:val="000000" w:themeColor="text1"/>
          <w:sz w:val="20"/>
          <w:szCs w:val="20"/>
        </w:rPr>
      </w:pPr>
    </w:p>
    <w:p w14:paraId="315CCE13" w14:textId="77777777" w:rsidR="00D66252" w:rsidRPr="00D8001D" w:rsidRDefault="00D66252" w:rsidP="00FC282B">
      <w:pPr>
        <w:numPr>
          <w:ilvl w:val="0"/>
          <w:numId w:val="4"/>
        </w:numPr>
        <w:spacing w:after="120" w:line="276" w:lineRule="auto"/>
        <w:ind w:left="284" w:hanging="357"/>
        <w:jc w:val="both"/>
        <w:rPr>
          <w:rFonts w:ascii="Arial" w:hAnsi="Arial" w:cs="Arial"/>
          <w:bCs/>
          <w:color w:val="000000" w:themeColor="text1"/>
          <w:sz w:val="20"/>
          <w:szCs w:val="20"/>
        </w:rPr>
      </w:pPr>
      <w:r w:rsidRPr="00D8001D">
        <w:rPr>
          <w:rFonts w:ascii="Arial" w:hAnsi="Arial" w:cs="Arial"/>
          <w:bCs/>
          <w:color w:val="000000" w:themeColor="text1"/>
          <w:sz w:val="20"/>
          <w:szCs w:val="20"/>
        </w:rPr>
        <w:t>Ulteriori segnalazioni a discrezione dell’interessato.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66252" w:rsidRPr="00D8001D" w14:paraId="39D58E5F" w14:textId="77777777" w:rsidTr="004A1637">
        <w:trPr>
          <w:trHeight w:val="1824"/>
        </w:trPr>
        <w:tc>
          <w:tcPr>
            <w:tcW w:w="8642" w:type="dxa"/>
            <w:shd w:val="clear" w:color="auto" w:fill="F2F2F2" w:themeFill="background1" w:themeFillShade="F2"/>
          </w:tcPr>
          <w:p w14:paraId="505A78B5" w14:textId="77777777" w:rsidR="00D66252" w:rsidRPr="00D8001D" w:rsidRDefault="00D66252" w:rsidP="004A0FEA">
            <w:pPr>
              <w:jc w:val="both"/>
              <w:rPr>
                <w:rFonts w:ascii="Arial" w:hAnsi="Arial" w:cs="Arial"/>
                <w:bCs/>
                <w:color w:val="000000" w:themeColor="text1"/>
                <w:sz w:val="20"/>
                <w:szCs w:val="20"/>
              </w:rPr>
            </w:pPr>
          </w:p>
        </w:tc>
      </w:tr>
    </w:tbl>
    <w:p w14:paraId="50C3AB73" w14:textId="77777777" w:rsidR="00D66252" w:rsidRPr="00D8001D" w:rsidRDefault="00D66252" w:rsidP="00D66252">
      <w:pPr>
        <w:jc w:val="both"/>
        <w:rPr>
          <w:rFonts w:ascii="Arial" w:hAnsi="Arial" w:cs="Arial"/>
          <w:i/>
          <w:color w:val="000000" w:themeColor="text1"/>
          <w:sz w:val="20"/>
          <w:szCs w:val="20"/>
        </w:rPr>
      </w:pPr>
    </w:p>
    <w:p w14:paraId="7D954BEA" w14:textId="77777777" w:rsidR="00D66252" w:rsidRPr="00D8001D" w:rsidRDefault="00D66252" w:rsidP="00D66252">
      <w:pPr>
        <w:spacing w:line="276" w:lineRule="auto"/>
        <w:jc w:val="both"/>
        <w:rPr>
          <w:rFonts w:ascii="Arial" w:hAnsi="Arial" w:cs="Arial"/>
          <w:bCs/>
          <w:color w:val="000000" w:themeColor="text1"/>
          <w:sz w:val="20"/>
          <w:szCs w:val="20"/>
        </w:rPr>
      </w:pPr>
      <w:r w:rsidRPr="00D8001D">
        <w:rPr>
          <w:rFonts w:ascii="Arial" w:hAnsi="Arial" w:cs="Arial"/>
          <w:bCs/>
          <w:color w:val="000000" w:themeColor="text1"/>
          <w:sz w:val="20"/>
          <w:szCs w:val="20"/>
        </w:rPr>
        <w:t>Con la sottoscrizione del Documento di Consultazione del mercato, l’interessato acconsente espressamente al trattamento dei propri Dati personali più sopra forniti.</w:t>
      </w:r>
    </w:p>
    <w:p w14:paraId="5B8B8821" w14:textId="77777777" w:rsidR="006C414B" w:rsidRPr="00A273AE" w:rsidRDefault="006C414B">
      <w:pPr>
        <w:jc w:val="both"/>
        <w:rPr>
          <w:rFonts w:ascii="Arial" w:hAnsi="Arial" w:cs="Arial"/>
          <w:i/>
          <w:color w:val="000000" w:themeColor="text1"/>
          <w:sz w:val="20"/>
          <w:szCs w:val="20"/>
        </w:rPr>
      </w:pPr>
    </w:p>
    <w:p w14:paraId="1EDCAF7B" w14:textId="77777777" w:rsidR="00216305" w:rsidRPr="00A273AE" w:rsidRDefault="00216305">
      <w:pPr>
        <w:jc w:val="both"/>
        <w:rPr>
          <w:rFonts w:ascii="Arial" w:hAnsi="Arial" w:cs="Arial"/>
          <w:i/>
          <w:color w:val="000000" w:themeColor="text1"/>
          <w:sz w:val="20"/>
          <w:szCs w:val="20"/>
        </w:rPr>
      </w:pPr>
    </w:p>
    <w:p w14:paraId="12F24510" w14:textId="77777777" w:rsidR="006C414B" w:rsidRPr="00A273AE" w:rsidRDefault="006C414B">
      <w:pPr>
        <w:jc w:val="both"/>
        <w:rPr>
          <w:rFonts w:ascii="Arial" w:hAnsi="Arial" w:cs="Arial"/>
          <w:bCs/>
          <w:i/>
          <w:color w:val="000000" w:themeColor="text1"/>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1"/>
      <w:footerReference w:type="default" r:id="rId12"/>
      <w:headerReference w:type="first" r:id="rId13"/>
      <w:footerReference w:type="first" r:id="rId14"/>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073C" w14:textId="77777777" w:rsidR="00C810E8" w:rsidRDefault="00C810E8">
      <w:r>
        <w:separator/>
      </w:r>
    </w:p>
  </w:endnote>
  <w:endnote w:type="continuationSeparator" w:id="0">
    <w:p w14:paraId="15B92064" w14:textId="77777777" w:rsidR="00C810E8" w:rsidRDefault="00C810E8">
      <w:r>
        <w:continuationSeparator/>
      </w:r>
    </w:p>
  </w:endnote>
  <w:endnote w:type="continuationNotice" w:id="1">
    <w:p w14:paraId="2C705506" w14:textId="77777777" w:rsidR="00C810E8" w:rsidRDefault="00C8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52959A3C" w14:textId="5C9DACF4" w:rsidR="00DF79E3" w:rsidRDefault="00ED74A3" w:rsidP="00B75EB3">
    <w:pPr>
      <w:pStyle w:val="Pidipagina"/>
      <w:rPr>
        <w:rFonts w:ascii="Arial" w:hAnsi="Arial"/>
        <w:b/>
        <w:bCs/>
        <w:color w:val="0077CF"/>
        <w:kern w:val="2"/>
        <w:sz w:val="15"/>
      </w:rPr>
    </w:pPr>
    <w:r>
      <w:rPr>
        <w:rFonts w:ascii="Arial" w:hAnsi="Arial"/>
        <w:b/>
        <w:bCs/>
        <w:color w:val="0077CF"/>
        <w:kern w:val="2"/>
        <w:sz w:val="15"/>
      </w:rPr>
      <w:t>Consip S.p.A. – Consultazione del mercato per</w:t>
    </w:r>
    <w:r w:rsidR="00DC1052" w:rsidRPr="00DC1052">
      <w:rPr>
        <w:rFonts w:ascii="Arial" w:hAnsi="Arial"/>
        <w:b/>
        <w:bCs/>
        <w:color w:val="0077CF"/>
        <w:kern w:val="2"/>
        <w:sz w:val="15"/>
      </w:rPr>
      <w:t xml:space="preserve"> la fornitura di energia elettrica</w:t>
    </w:r>
  </w:p>
  <w:p w14:paraId="4EC1BE08" w14:textId="6E574CB5" w:rsidR="00ED74A3" w:rsidRPr="00ED74A3" w:rsidRDefault="00DC1052" w:rsidP="00B75EB3">
    <w:pPr>
      <w:pStyle w:val="Pidipagina"/>
      <w:rPr>
        <w:rFonts w:ascii="Calibri" w:hAnsi="Calibri" w:cs="Calibri"/>
        <w:iCs/>
        <w:color w:val="808080" w:themeColor="background1" w:themeShade="80"/>
        <w:sz w:val="16"/>
        <w:szCs w:val="16"/>
      </w:rPr>
    </w:pPr>
    <w:r w:rsidRPr="00DC1052">
      <w:rPr>
        <w:rFonts w:ascii="Arial" w:hAnsi="Arial"/>
        <w:b/>
        <w:bCs/>
        <w:color w:val="0077CF"/>
        <w:kern w:val="2"/>
        <w:sz w:val="15"/>
      </w:rPr>
      <w:t xml:space="preserve">e dei servizi connessi per le Pubbliche Amministrazioni – </w:t>
    </w:r>
    <w:r w:rsidR="00DF79E3">
      <w:rPr>
        <w:rFonts w:ascii="Arial" w:hAnsi="Arial"/>
        <w:b/>
        <w:bCs/>
        <w:color w:val="0077CF"/>
        <w:kern w:val="2"/>
        <w:sz w:val="15"/>
      </w:rPr>
      <w:t>Energia Elettrica (</w:t>
    </w:r>
    <w:r w:rsidRPr="00DC1052">
      <w:rPr>
        <w:rFonts w:ascii="Arial" w:hAnsi="Arial"/>
        <w:b/>
        <w:bCs/>
        <w:color w:val="0077CF"/>
        <w:kern w:val="2"/>
        <w:sz w:val="15"/>
      </w:rPr>
      <w:t>ID 2994</w:t>
    </w:r>
    <w:r w:rsidR="00DF79E3">
      <w:rPr>
        <w:rFonts w:ascii="Arial" w:hAnsi="Arial"/>
        <w:b/>
        <w:bCs/>
        <w:color w:val="0077CF"/>
        <w:kern w:val="2"/>
        <w:sz w:val="15"/>
      </w:rPr>
      <w:t>)</w:t>
    </w:r>
    <w:r w:rsidR="0033266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21D6" w14:textId="77777777" w:rsidR="00C810E8" w:rsidRDefault="00C810E8">
      <w:r>
        <w:separator/>
      </w:r>
    </w:p>
  </w:footnote>
  <w:footnote w:type="continuationSeparator" w:id="0">
    <w:p w14:paraId="36AEE2F0" w14:textId="77777777" w:rsidR="00C810E8" w:rsidRDefault="00C810E8">
      <w:r>
        <w:continuationSeparator/>
      </w:r>
    </w:p>
  </w:footnote>
  <w:footnote w:type="continuationNotice" w:id="1">
    <w:p w14:paraId="64CB3F48" w14:textId="77777777" w:rsidR="00C810E8" w:rsidRDefault="00C81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34D5E9C"/>
    <w:multiLevelType w:val="hybridMultilevel"/>
    <w:tmpl w:val="AAB8F0C0"/>
    <w:lvl w:ilvl="0" w:tplc="80A813DC">
      <w:start w:val="1"/>
      <w:numFmt w:val="lowerLetter"/>
      <w:lvlText w:val="%1)"/>
      <w:lvlJc w:val="left"/>
      <w:pPr>
        <w:ind w:left="1020" w:hanging="360"/>
      </w:pPr>
    </w:lvl>
    <w:lvl w:ilvl="1" w:tplc="2EF02FC8">
      <w:start w:val="1"/>
      <w:numFmt w:val="lowerLetter"/>
      <w:lvlText w:val="%2)"/>
      <w:lvlJc w:val="left"/>
      <w:pPr>
        <w:ind w:left="1020" w:hanging="360"/>
      </w:pPr>
    </w:lvl>
    <w:lvl w:ilvl="2" w:tplc="5FBABC9C">
      <w:start w:val="1"/>
      <w:numFmt w:val="lowerLetter"/>
      <w:lvlText w:val="%3)"/>
      <w:lvlJc w:val="left"/>
      <w:pPr>
        <w:ind w:left="1020" w:hanging="360"/>
      </w:pPr>
    </w:lvl>
    <w:lvl w:ilvl="3" w:tplc="438A56AA">
      <w:start w:val="1"/>
      <w:numFmt w:val="lowerLetter"/>
      <w:lvlText w:val="%4)"/>
      <w:lvlJc w:val="left"/>
      <w:pPr>
        <w:ind w:left="1020" w:hanging="360"/>
      </w:pPr>
    </w:lvl>
    <w:lvl w:ilvl="4" w:tplc="363019F6">
      <w:start w:val="1"/>
      <w:numFmt w:val="lowerLetter"/>
      <w:lvlText w:val="%5)"/>
      <w:lvlJc w:val="left"/>
      <w:pPr>
        <w:ind w:left="1020" w:hanging="360"/>
      </w:pPr>
    </w:lvl>
    <w:lvl w:ilvl="5" w:tplc="6310BC90">
      <w:start w:val="1"/>
      <w:numFmt w:val="lowerLetter"/>
      <w:lvlText w:val="%6)"/>
      <w:lvlJc w:val="left"/>
      <w:pPr>
        <w:ind w:left="1020" w:hanging="360"/>
      </w:pPr>
    </w:lvl>
    <w:lvl w:ilvl="6" w:tplc="7CE841EE">
      <w:start w:val="1"/>
      <w:numFmt w:val="lowerLetter"/>
      <w:lvlText w:val="%7)"/>
      <w:lvlJc w:val="left"/>
      <w:pPr>
        <w:ind w:left="1020" w:hanging="360"/>
      </w:pPr>
    </w:lvl>
    <w:lvl w:ilvl="7" w:tplc="95C89EE6">
      <w:start w:val="1"/>
      <w:numFmt w:val="lowerLetter"/>
      <w:lvlText w:val="%8)"/>
      <w:lvlJc w:val="left"/>
      <w:pPr>
        <w:ind w:left="1020" w:hanging="360"/>
      </w:pPr>
    </w:lvl>
    <w:lvl w:ilvl="8" w:tplc="7CE85F92">
      <w:start w:val="1"/>
      <w:numFmt w:val="lowerLetter"/>
      <w:lvlText w:val="%9)"/>
      <w:lvlJc w:val="left"/>
      <w:pPr>
        <w:ind w:left="1020" w:hanging="360"/>
      </w:pPr>
    </w:lvl>
  </w:abstractNum>
  <w:abstractNum w:abstractNumId="2" w15:restartNumberingAfterBreak="0">
    <w:nsid w:val="11214EB7"/>
    <w:multiLevelType w:val="hybridMultilevel"/>
    <w:tmpl w:val="2730CB18"/>
    <w:lvl w:ilvl="0" w:tplc="FC503D86">
      <w:start w:val="1"/>
      <w:numFmt w:val="decimal"/>
      <w:lvlText w:val="%1)"/>
      <w:lvlJc w:val="left"/>
      <w:pPr>
        <w:ind w:left="1020" w:hanging="360"/>
      </w:pPr>
    </w:lvl>
    <w:lvl w:ilvl="1" w:tplc="A52625F4">
      <w:start w:val="1"/>
      <w:numFmt w:val="decimal"/>
      <w:lvlText w:val="%2)"/>
      <w:lvlJc w:val="left"/>
      <w:pPr>
        <w:ind w:left="1020" w:hanging="360"/>
      </w:pPr>
    </w:lvl>
    <w:lvl w:ilvl="2" w:tplc="631A4BD2">
      <w:start w:val="1"/>
      <w:numFmt w:val="decimal"/>
      <w:lvlText w:val="%3)"/>
      <w:lvlJc w:val="left"/>
      <w:pPr>
        <w:ind w:left="1020" w:hanging="360"/>
      </w:pPr>
    </w:lvl>
    <w:lvl w:ilvl="3" w:tplc="3DF8E1AE">
      <w:start w:val="1"/>
      <w:numFmt w:val="decimal"/>
      <w:lvlText w:val="%4)"/>
      <w:lvlJc w:val="left"/>
      <w:pPr>
        <w:ind w:left="1020" w:hanging="360"/>
      </w:pPr>
    </w:lvl>
    <w:lvl w:ilvl="4" w:tplc="760E6E7C">
      <w:start w:val="1"/>
      <w:numFmt w:val="decimal"/>
      <w:lvlText w:val="%5)"/>
      <w:lvlJc w:val="left"/>
      <w:pPr>
        <w:ind w:left="1020" w:hanging="360"/>
      </w:pPr>
    </w:lvl>
    <w:lvl w:ilvl="5" w:tplc="F96418E0">
      <w:start w:val="1"/>
      <w:numFmt w:val="decimal"/>
      <w:lvlText w:val="%6)"/>
      <w:lvlJc w:val="left"/>
      <w:pPr>
        <w:ind w:left="1020" w:hanging="360"/>
      </w:pPr>
    </w:lvl>
    <w:lvl w:ilvl="6" w:tplc="92507792">
      <w:start w:val="1"/>
      <w:numFmt w:val="decimal"/>
      <w:lvlText w:val="%7)"/>
      <w:lvlJc w:val="left"/>
      <w:pPr>
        <w:ind w:left="1020" w:hanging="360"/>
      </w:pPr>
    </w:lvl>
    <w:lvl w:ilvl="7" w:tplc="AC385D0E">
      <w:start w:val="1"/>
      <w:numFmt w:val="decimal"/>
      <w:lvlText w:val="%8)"/>
      <w:lvlJc w:val="left"/>
      <w:pPr>
        <w:ind w:left="1020" w:hanging="360"/>
      </w:pPr>
    </w:lvl>
    <w:lvl w:ilvl="8" w:tplc="7BCA99D6">
      <w:start w:val="1"/>
      <w:numFmt w:val="decimal"/>
      <w:lvlText w:val="%9)"/>
      <w:lvlJc w:val="left"/>
      <w:pPr>
        <w:ind w:left="1020" w:hanging="360"/>
      </w:pPr>
    </w:lvl>
  </w:abstractNum>
  <w:abstractNum w:abstractNumId="3" w15:restartNumberingAfterBreak="0">
    <w:nsid w:val="13236464"/>
    <w:multiLevelType w:val="hybridMultilevel"/>
    <w:tmpl w:val="1B70D92C"/>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4" w15:restartNumberingAfterBreak="0">
    <w:nsid w:val="17901FE1"/>
    <w:multiLevelType w:val="hybridMultilevel"/>
    <w:tmpl w:val="1B70D92C"/>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5" w15:restartNumberingAfterBreak="0">
    <w:nsid w:val="30294320"/>
    <w:multiLevelType w:val="hybridMultilevel"/>
    <w:tmpl w:val="1B70D92C"/>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6" w15:restartNumberingAfterBreak="0">
    <w:nsid w:val="350F4B53"/>
    <w:multiLevelType w:val="hybridMultilevel"/>
    <w:tmpl w:val="C99C09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A44DFC"/>
    <w:multiLevelType w:val="hybridMultilevel"/>
    <w:tmpl w:val="1B70D92C"/>
    <w:lvl w:ilvl="0" w:tplc="2230E63C">
      <w:start w:val="1"/>
      <w:numFmt w:val="decimal"/>
      <w:lvlText w:val="%1."/>
      <w:lvlJc w:val="left"/>
      <w:pPr>
        <w:tabs>
          <w:tab w:val="num" w:pos="360"/>
        </w:tabs>
        <w:ind w:left="360" w:hanging="360"/>
      </w:pPr>
      <w:rPr>
        <w:rFonts w:ascii="Arial" w:hAnsi="Arial" w:cs="Arial" w:hint="default"/>
        <w:sz w:val="20"/>
        <w:szCs w:val="20"/>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9"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0"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8E31428"/>
    <w:multiLevelType w:val="hybridMultilevel"/>
    <w:tmpl w:val="FC46C3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EDE0115"/>
    <w:multiLevelType w:val="hybridMultilevel"/>
    <w:tmpl w:val="7B9C6D30"/>
    <w:lvl w:ilvl="0" w:tplc="44DE6FE4">
      <w:start w:val="1"/>
      <w:numFmt w:val="decimal"/>
      <w:lvlText w:val="%1."/>
      <w:lvlJc w:val="left"/>
      <w:pPr>
        <w:ind w:left="720" w:hanging="360"/>
      </w:pPr>
    </w:lvl>
    <w:lvl w:ilvl="1" w:tplc="FE243524">
      <w:start w:val="1"/>
      <w:numFmt w:val="decimal"/>
      <w:lvlText w:val="%2."/>
      <w:lvlJc w:val="left"/>
      <w:pPr>
        <w:ind w:left="720" w:hanging="360"/>
      </w:pPr>
    </w:lvl>
    <w:lvl w:ilvl="2" w:tplc="0BB6A346">
      <w:start w:val="1"/>
      <w:numFmt w:val="decimal"/>
      <w:lvlText w:val="%3."/>
      <w:lvlJc w:val="left"/>
      <w:pPr>
        <w:ind w:left="720" w:hanging="360"/>
      </w:pPr>
    </w:lvl>
    <w:lvl w:ilvl="3" w:tplc="5E14B83A">
      <w:start w:val="1"/>
      <w:numFmt w:val="decimal"/>
      <w:lvlText w:val="%4."/>
      <w:lvlJc w:val="left"/>
      <w:pPr>
        <w:ind w:left="720" w:hanging="360"/>
      </w:pPr>
    </w:lvl>
    <w:lvl w:ilvl="4" w:tplc="3652612E">
      <w:start w:val="1"/>
      <w:numFmt w:val="decimal"/>
      <w:lvlText w:val="%5."/>
      <w:lvlJc w:val="left"/>
      <w:pPr>
        <w:ind w:left="720" w:hanging="360"/>
      </w:pPr>
    </w:lvl>
    <w:lvl w:ilvl="5" w:tplc="B372C020">
      <w:start w:val="1"/>
      <w:numFmt w:val="decimal"/>
      <w:lvlText w:val="%6."/>
      <w:lvlJc w:val="left"/>
      <w:pPr>
        <w:ind w:left="720" w:hanging="360"/>
      </w:pPr>
    </w:lvl>
    <w:lvl w:ilvl="6" w:tplc="0A747E54">
      <w:start w:val="1"/>
      <w:numFmt w:val="decimal"/>
      <w:lvlText w:val="%7."/>
      <w:lvlJc w:val="left"/>
      <w:pPr>
        <w:ind w:left="720" w:hanging="360"/>
      </w:pPr>
    </w:lvl>
    <w:lvl w:ilvl="7" w:tplc="BC1AB4AC">
      <w:start w:val="1"/>
      <w:numFmt w:val="decimal"/>
      <w:lvlText w:val="%8."/>
      <w:lvlJc w:val="left"/>
      <w:pPr>
        <w:ind w:left="720" w:hanging="360"/>
      </w:pPr>
    </w:lvl>
    <w:lvl w:ilvl="8" w:tplc="C796669C">
      <w:start w:val="1"/>
      <w:numFmt w:val="decimal"/>
      <w:lvlText w:val="%9."/>
      <w:lvlJc w:val="left"/>
      <w:pPr>
        <w:ind w:left="720" w:hanging="360"/>
      </w:pPr>
    </w:lvl>
  </w:abstractNum>
  <w:abstractNum w:abstractNumId="13" w15:restartNumberingAfterBreak="0">
    <w:nsid w:val="758C46E2"/>
    <w:multiLevelType w:val="hybridMultilevel"/>
    <w:tmpl w:val="1CC2B99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18501710">
    <w:abstractNumId w:val="0"/>
  </w:num>
  <w:num w:numId="2" w16cid:durableId="647515653">
    <w:abstractNumId w:val="10"/>
  </w:num>
  <w:num w:numId="3" w16cid:durableId="222761800">
    <w:abstractNumId w:val="9"/>
  </w:num>
  <w:num w:numId="4" w16cid:durableId="1188250918">
    <w:abstractNumId w:val="8"/>
  </w:num>
  <w:num w:numId="5" w16cid:durableId="667832779">
    <w:abstractNumId w:val="7"/>
  </w:num>
  <w:num w:numId="6" w16cid:durableId="1822188194">
    <w:abstractNumId w:val="11"/>
  </w:num>
  <w:num w:numId="7" w16cid:durableId="1854565141">
    <w:abstractNumId w:val="1"/>
  </w:num>
  <w:num w:numId="8" w16cid:durableId="441070436">
    <w:abstractNumId w:val="2"/>
  </w:num>
  <w:num w:numId="9" w16cid:durableId="1748376908">
    <w:abstractNumId w:val="6"/>
  </w:num>
  <w:num w:numId="10" w16cid:durableId="372774073">
    <w:abstractNumId w:val="3"/>
  </w:num>
  <w:num w:numId="11" w16cid:durableId="347606432">
    <w:abstractNumId w:val="13"/>
  </w:num>
  <w:num w:numId="12" w16cid:durableId="1131092161">
    <w:abstractNumId w:val="4"/>
  </w:num>
  <w:num w:numId="13" w16cid:durableId="1763142862">
    <w:abstractNumId w:val="5"/>
  </w:num>
  <w:num w:numId="14" w16cid:durableId="198272910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0088"/>
    <w:rsid w:val="0001059E"/>
    <w:rsid w:val="00022614"/>
    <w:rsid w:val="00025C9E"/>
    <w:rsid w:val="00031515"/>
    <w:rsid w:val="0004247F"/>
    <w:rsid w:val="00046B5D"/>
    <w:rsid w:val="00060428"/>
    <w:rsid w:val="00073307"/>
    <w:rsid w:val="00085C01"/>
    <w:rsid w:val="00087A5D"/>
    <w:rsid w:val="00093A26"/>
    <w:rsid w:val="000A09D9"/>
    <w:rsid w:val="000C48D9"/>
    <w:rsid w:val="000C7316"/>
    <w:rsid w:val="000D5B3E"/>
    <w:rsid w:val="000F5CF8"/>
    <w:rsid w:val="00101B25"/>
    <w:rsid w:val="00103F8A"/>
    <w:rsid w:val="00104586"/>
    <w:rsid w:val="00105D47"/>
    <w:rsid w:val="001149AB"/>
    <w:rsid w:val="00122DD1"/>
    <w:rsid w:val="0012630D"/>
    <w:rsid w:val="00144CD3"/>
    <w:rsid w:val="00145036"/>
    <w:rsid w:val="0016062C"/>
    <w:rsid w:val="001929BF"/>
    <w:rsid w:val="001A4D61"/>
    <w:rsid w:val="001A4E35"/>
    <w:rsid w:val="001B02F5"/>
    <w:rsid w:val="001B28FF"/>
    <w:rsid w:val="001B66A4"/>
    <w:rsid w:val="001B6A28"/>
    <w:rsid w:val="001D210B"/>
    <w:rsid w:val="00216305"/>
    <w:rsid w:val="0023438B"/>
    <w:rsid w:val="00244C4C"/>
    <w:rsid w:val="002537B4"/>
    <w:rsid w:val="00257800"/>
    <w:rsid w:val="002830E0"/>
    <w:rsid w:val="00287137"/>
    <w:rsid w:val="00287FA0"/>
    <w:rsid w:val="00291731"/>
    <w:rsid w:val="002A0C54"/>
    <w:rsid w:val="002D235A"/>
    <w:rsid w:val="002E2351"/>
    <w:rsid w:val="002E5AE6"/>
    <w:rsid w:val="003043A0"/>
    <w:rsid w:val="00306506"/>
    <w:rsid w:val="0033266B"/>
    <w:rsid w:val="00362264"/>
    <w:rsid w:val="003774E9"/>
    <w:rsid w:val="0037761D"/>
    <w:rsid w:val="003C0192"/>
    <w:rsid w:val="003E3428"/>
    <w:rsid w:val="003F2862"/>
    <w:rsid w:val="004039F8"/>
    <w:rsid w:val="00430D89"/>
    <w:rsid w:val="004310E0"/>
    <w:rsid w:val="00431664"/>
    <w:rsid w:val="00436713"/>
    <w:rsid w:val="00441611"/>
    <w:rsid w:val="00450634"/>
    <w:rsid w:val="00452ED6"/>
    <w:rsid w:val="00453DAC"/>
    <w:rsid w:val="00455599"/>
    <w:rsid w:val="00464D26"/>
    <w:rsid w:val="00466900"/>
    <w:rsid w:val="00495CA3"/>
    <w:rsid w:val="004A1637"/>
    <w:rsid w:val="004A5686"/>
    <w:rsid w:val="004A6E47"/>
    <w:rsid w:val="004B3E9B"/>
    <w:rsid w:val="004D35CA"/>
    <w:rsid w:val="004D51E7"/>
    <w:rsid w:val="004E00C6"/>
    <w:rsid w:val="004E1C8B"/>
    <w:rsid w:val="004F3EA7"/>
    <w:rsid w:val="004F5C3C"/>
    <w:rsid w:val="00515E5B"/>
    <w:rsid w:val="00536900"/>
    <w:rsid w:val="00544311"/>
    <w:rsid w:val="005465D0"/>
    <w:rsid w:val="00547114"/>
    <w:rsid w:val="005519E2"/>
    <w:rsid w:val="00555341"/>
    <w:rsid w:val="005678F9"/>
    <w:rsid w:val="00570CCB"/>
    <w:rsid w:val="005723CA"/>
    <w:rsid w:val="00573E3B"/>
    <w:rsid w:val="005A6CE7"/>
    <w:rsid w:val="005B56FC"/>
    <w:rsid w:val="005B74BE"/>
    <w:rsid w:val="005E04DD"/>
    <w:rsid w:val="005E56AA"/>
    <w:rsid w:val="005F115F"/>
    <w:rsid w:val="00602528"/>
    <w:rsid w:val="00606215"/>
    <w:rsid w:val="00623FAF"/>
    <w:rsid w:val="006327EA"/>
    <w:rsid w:val="00643947"/>
    <w:rsid w:val="006479E1"/>
    <w:rsid w:val="00657B83"/>
    <w:rsid w:val="00676043"/>
    <w:rsid w:val="00681B38"/>
    <w:rsid w:val="00684326"/>
    <w:rsid w:val="006A0A47"/>
    <w:rsid w:val="006A23B8"/>
    <w:rsid w:val="006B5804"/>
    <w:rsid w:val="006C380D"/>
    <w:rsid w:val="006C414B"/>
    <w:rsid w:val="006C4447"/>
    <w:rsid w:val="006D0C12"/>
    <w:rsid w:val="006E1C93"/>
    <w:rsid w:val="006E5013"/>
    <w:rsid w:val="00704850"/>
    <w:rsid w:val="00705961"/>
    <w:rsid w:val="00712E2C"/>
    <w:rsid w:val="007209FF"/>
    <w:rsid w:val="0072643E"/>
    <w:rsid w:val="00727BEC"/>
    <w:rsid w:val="007412F7"/>
    <w:rsid w:val="00744437"/>
    <w:rsid w:val="00744FB5"/>
    <w:rsid w:val="00752ADE"/>
    <w:rsid w:val="007963D7"/>
    <w:rsid w:val="007B75A4"/>
    <w:rsid w:val="007C3E1D"/>
    <w:rsid w:val="007E5B19"/>
    <w:rsid w:val="00817F0F"/>
    <w:rsid w:val="00820454"/>
    <w:rsid w:val="008308A1"/>
    <w:rsid w:val="00862208"/>
    <w:rsid w:val="00863256"/>
    <w:rsid w:val="00882253"/>
    <w:rsid w:val="0088361B"/>
    <w:rsid w:val="008A13B2"/>
    <w:rsid w:val="008B19A2"/>
    <w:rsid w:val="008B4C4A"/>
    <w:rsid w:val="008D1622"/>
    <w:rsid w:val="008D27B1"/>
    <w:rsid w:val="0093039E"/>
    <w:rsid w:val="0093142B"/>
    <w:rsid w:val="00951CD2"/>
    <w:rsid w:val="00954BCF"/>
    <w:rsid w:val="0096785A"/>
    <w:rsid w:val="009815BC"/>
    <w:rsid w:val="00981621"/>
    <w:rsid w:val="009C4A7C"/>
    <w:rsid w:val="009E5B4D"/>
    <w:rsid w:val="00A004CC"/>
    <w:rsid w:val="00A02F6F"/>
    <w:rsid w:val="00A072A4"/>
    <w:rsid w:val="00A17930"/>
    <w:rsid w:val="00A20B72"/>
    <w:rsid w:val="00A273AE"/>
    <w:rsid w:val="00A27E5F"/>
    <w:rsid w:val="00A32E40"/>
    <w:rsid w:val="00A37B11"/>
    <w:rsid w:val="00A40674"/>
    <w:rsid w:val="00A408CD"/>
    <w:rsid w:val="00A447F6"/>
    <w:rsid w:val="00A7512C"/>
    <w:rsid w:val="00A80D20"/>
    <w:rsid w:val="00A82C5B"/>
    <w:rsid w:val="00A863DA"/>
    <w:rsid w:val="00A92784"/>
    <w:rsid w:val="00AA7587"/>
    <w:rsid w:val="00AB09C7"/>
    <w:rsid w:val="00AB5CB2"/>
    <w:rsid w:val="00AC002E"/>
    <w:rsid w:val="00AD73F1"/>
    <w:rsid w:val="00AF3BF6"/>
    <w:rsid w:val="00AF7387"/>
    <w:rsid w:val="00AF7473"/>
    <w:rsid w:val="00B13B8E"/>
    <w:rsid w:val="00B177DD"/>
    <w:rsid w:val="00B21760"/>
    <w:rsid w:val="00B3677F"/>
    <w:rsid w:val="00B463FB"/>
    <w:rsid w:val="00B46A36"/>
    <w:rsid w:val="00B47F3D"/>
    <w:rsid w:val="00B5254C"/>
    <w:rsid w:val="00B73A44"/>
    <w:rsid w:val="00B75EB3"/>
    <w:rsid w:val="00B817DE"/>
    <w:rsid w:val="00B90C92"/>
    <w:rsid w:val="00BB12FA"/>
    <w:rsid w:val="00BB7BB2"/>
    <w:rsid w:val="00BC198F"/>
    <w:rsid w:val="00BC2499"/>
    <w:rsid w:val="00BC7D6D"/>
    <w:rsid w:val="00BD3BDE"/>
    <w:rsid w:val="00C06A64"/>
    <w:rsid w:val="00C17DCE"/>
    <w:rsid w:val="00C31CDB"/>
    <w:rsid w:val="00C76B66"/>
    <w:rsid w:val="00C810E8"/>
    <w:rsid w:val="00C827D3"/>
    <w:rsid w:val="00C914FC"/>
    <w:rsid w:val="00C961CA"/>
    <w:rsid w:val="00CC16AD"/>
    <w:rsid w:val="00CE0754"/>
    <w:rsid w:val="00D003F7"/>
    <w:rsid w:val="00D06536"/>
    <w:rsid w:val="00D124D1"/>
    <w:rsid w:val="00D14B8E"/>
    <w:rsid w:val="00D32EE9"/>
    <w:rsid w:val="00D338EA"/>
    <w:rsid w:val="00D4685D"/>
    <w:rsid w:val="00D66252"/>
    <w:rsid w:val="00D66296"/>
    <w:rsid w:val="00D706A3"/>
    <w:rsid w:val="00D93865"/>
    <w:rsid w:val="00D95856"/>
    <w:rsid w:val="00DA027C"/>
    <w:rsid w:val="00DA30F0"/>
    <w:rsid w:val="00DC1052"/>
    <w:rsid w:val="00DC4F58"/>
    <w:rsid w:val="00DC727C"/>
    <w:rsid w:val="00DF3622"/>
    <w:rsid w:val="00DF3B22"/>
    <w:rsid w:val="00DF79E3"/>
    <w:rsid w:val="00E044EC"/>
    <w:rsid w:val="00E25512"/>
    <w:rsid w:val="00E2640A"/>
    <w:rsid w:val="00E55D71"/>
    <w:rsid w:val="00E5683D"/>
    <w:rsid w:val="00E57C36"/>
    <w:rsid w:val="00E6417B"/>
    <w:rsid w:val="00E7271B"/>
    <w:rsid w:val="00E83AF6"/>
    <w:rsid w:val="00EA7188"/>
    <w:rsid w:val="00EA75C9"/>
    <w:rsid w:val="00ED74A3"/>
    <w:rsid w:val="00EE53DC"/>
    <w:rsid w:val="00EF2CCB"/>
    <w:rsid w:val="00F034EC"/>
    <w:rsid w:val="00F06841"/>
    <w:rsid w:val="00F3251A"/>
    <w:rsid w:val="00F33D5F"/>
    <w:rsid w:val="00F346C2"/>
    <w:rsid w:val="00F526A2"/>
    <w:rsid w:val="00F56799"/>
    <w:rsid w:val="00F71C0B"/>
    <w:rsid w:val="00F8071B"/>
    <w:rsid w:val="00F91074"/>
    <w:rsid w:val="00FB4611"/>
    <w:rsid w:val="00FC282B"/>
    <w:rsid w:val="00FD4B3A"/>
    <w:rsid w:val="00FD689F"/>
    <w:rsid w:val="00FE2E59"/>
    <w:rsid w:val="00FE4A5C"/>
    <w:rsid w:val="00FE5CE5"/>
    <w:rsid w:val="00FE7082"/>
    <w:rsid w:val="00FF3E6F"/>
    <w:rsid w:val="00FF7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numPr>
        <w:numId w:val="3"/>
      </w:numPr>
      <w:spacing w:before="120" w:after="120"/>
      <w:outlineLvl w:val="0"/>
    </w:pPr>
    <w:rPr>
      <w:rFonts w:ascii="Arial" w:hAnsi="Arial"/>
      <w:b/>
      <w:sz w:val="22"/>
    </w:rPr>
  </w:style>
  <w:style w:type="paragraph" w:styleId="Titolo2">
    <w:name w:val="heading 2"/>
    <w:basedOn w:val="Normale"/>
    <w:link w:val="Titolo2Carattere"/>
    <w:uiPriority w:val="9"/>
    <w:qFormat/>
    <w:rsid w:val="00F33D5F"/>
    <w:pPr>
      <w:spacing w:before="100" w:beforeAutospacing="1" w:after="100" w:afterAutospacing="1"/>
      <w:outlineLvl w:val="1"/>
    </w:pPr>
    <w:rPr>
      <w:rFonts w:eastAsiaTheme="minorEastAsia"/>
      <w:b/>
      <w:bCs/>
      <w:sz w:val="36"/>
      <w:szCs w:val="36"/>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uiPriority w:val="9"/>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customStyle="1" w:styleId="Titolo2Carattere">
    <w:name w:val="Titolo 2 Carattere"/>
    <w:basedOn w:val="Carpredefinitoparagrafo"/>
    <w:link w:val="Titolo2"/>
    <w:uiPriority w:val="9"/>
    <w:rsid w:val="00F33D5F"/>
    <w:rPr>
      <w:rFonts w:eastAsiaTheme="minorEastAsia"/>
      <w:b/>
      <w:bCs/>
      <w:sz w:val="36"/>
      <w:szCs w:val="36"/>
    </w:rPr>
  </w:style>
  <w:style w:type="character" w:styleId="Menzionenonrisolta">
    <w:name w:val="Unresolved Mention"/>
    <w:basedOn w:val="Carpredefinitoparagrafo"/>
    <w:uiPriority w:val="99"/>
    <w:semiHidden/>
    <w:unhideWhenUsed/>
    <w:rsid w:val="00C91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u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seu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228D-9238-4BB6-B01C-2324DB3A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2606</Words>
  <Characters>15705</Characters>
  <Application>Microsoft Office Word</Application>
  <DocSecurity>0</DocSecurity>
  <Lines>373</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2026-03-31T13:48:00Z</dcterms:created>
  <dcterms:modified xsi:type="dcterms:W3CDTF">2026-03-31T13:49:00Z</dcterms:modified>
</cp:coreProperties>
</file>