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0789F0AD" w:rsidR="00DC69C7" w:rsidRPr="00170B9E" w:rsidRDefault="00522FB0">
      <w:pPr>
        <w:rPr>
          <w:rFonts w:ascii="Arial" w:hAnsi="Arial" w:cs="Arial"/>
          <w:b/>
          <w:bCs/>
          <w:color w:val="0070C0"/>
          <w:sz w:val="36"/>
          <w:szCs w:val="36"/>
        </w:rPr>
      </w:pPr>
      <w:r w:rsidRPr="00170B9E">
        <w:rPr>
          <w:rFonts w:ascii="Arial" w:hAnsi="Arial" w:cs="Arial"/>
          <w:b/>
          <w:sz w:val="36"/>
          <w:szCs w:val="36"/>
        </w:rPr>
        <w:t>ACQUISIZIONE</w:t>
      </w:r>
      <w:r w:rsidRPr="00170B9E">
        <w:rPr>
          <w:rFonts w:ascii="Arial" w:hAnsi="Arial" w:cs="Arial"/>
          <w:b/>
          <w:bCs/>
          <w:sz w:val="36"/>
          <w:szCs w:val="36"/>
        </w:rPr>
        <w:t xml:space="preserve"> D</w:t>
      </w:r>
      <w:r w:rsidR="001E0AEA">
        <w:rPr>
          <w:rFonts w:ascii="Arial" w:hAnsi="Arial" w:cs="Arial"/>
          <w:b/>
          <w:bCs/>
          <w:sz w:val="36"/>
          <w:szCs w:val="36"/>
        </w:rPr>
        <w:t>EL</w:t>
      </w:r>
      <w:r w:rsidRPr="00170B9E">
        <w:rPr>
          <w:rFonts w:ascii="Arial" w:hAnsi="Arial" w:cs="Arial"/>
          <w:b/>
          <w:bCs/>
          <w:sz w:val="36"/>
          <w:szCs w:val="36"/>
        </w:rPr>
        <w:t xml:space="preserve"> </w:t>
      </w:r>
      <w:r w:rsidR="001E0AEA" w:rsidRPr="001E0AEA">
        <w:rPr>
          <w:rFonts w:ascii="Arial" w:hAnsi="Arial" w:cs="Arial"/>
          <w:b/>
          <w:bCs/>
          <w:sz w:val="36"/>
          <w:szCs w:val="36"/>
        </w:rPr>
        <w:t xml:space="preserve">RINNOVO </w:t>
      </w:r>
      <w:r w:rsidR="001E0AEA">
        <w:rPr>
          <w:rFonts w:ascii="Arial" w:hAnsi="Arial" w:cs="Arial"/>
          <w:b/>
          <w:bCs/>
          <w:sz w:val="36"/>
          <w:szCs w:val="36"/>
        </w:rPr>
        <w:t xml:space="preserve">DELLE </w:t>
      </w:r>
      <w:r w:rsidR="001E0AEA" w:rsidRPr="001E0AEA">
        <w:rPr>
          <w:rFonts w:ascii="Arial" w:hAnsi="Arial" w:cs="Arial"/>
          <w:b/>
          <w:bCs/>
          <w:sz w:val="36"/>
          <w:szCs w:val="36"/>
        </w:rPr>
        <w:t xml:space="preserve">SOTTOSCRIZIONI SOFTWARE DI ENTERPRISE ARCHITECTURE </w:t>
      </w:r>
      <w:r w:rsidR="00F46F80">
        <w:rPr>
          <w:rFonts w:ascii="Arial" w:hAnsi="Arial" w:cs="Arial"/>
          <w:b/>
          <w:bCs/>
          <w:sz w:val="36"/>
          <w:szCs w:val="36"/>
        </w:rPr>
        <w:t xml:space="preserve">E </w:t>
      </w:r>
      <w:r w:rsidR="004E112F">
        <w:rPr>
          <w:rFonts w:ascii="Arial" w:hAnsi="Arial" w:cs="Arial"/>
          <w:b/>
          <w:bCs/>
          <w:sz w:val="36"/>
          <w:szCs w:val="36"/>
        </w:rPr>
        <w:t xml:space="preserve">DI </w:t>
      </w:r>
      <w:r w:rsidR="00F46F80">
        <w:rPr>
          <w:rFonts w:ascii="Arial" w:hAnsi="Arial" w:cs="Arial"/>
          <w:b/>
          <w:bCs/>
          <w:sz w:val="36"/>
          <w:szCs w:val="36"/>
        </w:rPr>
        <w:t>DATA MODEL</w:t>
      </w:r>
      <w:r w:rsidR="006D1116">
        <w:rPr>
          <w:rFonts w:ascii="Arial" w:hAnsi="Arial" w:cs="Arial"/>
          <w:b/>
          <w:bCs/>
          <w:sz w:val="36"/>
          <w:szCs w:val="36"/>
        </w:rPr>
        <w:t xml:space="preserve">ING </w:t>
      </w:r>
      <w:r w:rsidR="00F46F80">
        <w:rPr>
          <w:rFonts w:ascii="Arial" w:hAnsi="Arial" w:cs="Arial"/>
          <w:b/>
          <w:bCs/>
          <w:sz w:val="36"/>
          <w:szCs w:val="36"/>
        </w:rPr>
        <w:t>ERWIN</w:t>
      </w:r>
      <w:r w:rsidR="00090D20">
        <w:rPr>
          <w:rFonts w:ascii="Arial" w:hAnsi="Arial" w:cs="Arial"/>
          <w:b/>
          <w:bCs/>
          <w:sz w:val="36"/>
          <w:szCs w:val="36"/>
        </w:rPr>
        <w:t xml:space="preserve"> PER SOGEI</w:t>
      </w:r>
      <w:r w:rsidR="004A7DC4">
        <w:rPr>
          <w:rFonts w:ascii="Arial" w:hAnsi="Arial" w:cs="Arial"/>
          <w:b/>
          <w:bCs/>
          <w:sz w:val="36"/>
          <w:szCs w:val="36"/>
        </w:rPr>
        <w:t xml:space="preserve"> </w:t>
      </w:r>
      <w:r w:rsidR="001E0AEA">
        <w:rPr>
          <w:rFonts w:ascii="Arial" w:hAnsi="Arial" w:cs="Arial"/>
          <w:b/>
          <w:bCs/>
          <w:sz w:val="36"/>
          <w:szCs w:val="36"/>
        </w:rPr>
        <w:t>– ID 3027</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0F5C27AC" w14:textId="6EEE1076" w:rsidR="00DC69C7" w:rsidRPr="00F43F55" w:rsidRDefault="001E0AEA">
      <w:pPr>
        <w:spacing w:line="276" w:lineRule="auto"/>
        <w:jc w:val="both"/>
        <w:rPr>
          <w:rFonts w:ascii="Arial" w:hAnsi="Arial" w:cs="Arial"/>
          <w:bCs/>
          <w:sz w:val="20"/>
          <w:szCs w:val="20"/>
        </w:rPr>
      </w:pPr>
      <w:hyperlink r:id="rId8" w:history="1">
        <w:r w:rsidRPr="00F43F55">
          <w:rPr>
            <w:rStyle w:val="Collegamentoipertestuale"/>
            <w:rFonts w:ascii="Arial" w:hAnsi="Arial" w:cs="Arial"/>
            <w:bCs/>
            <w:sz w:val="20"/>
            <w:szCs w:val="20"/>
          </w:rPr>
          <w:t>ictconsip@postacert.consip.it</w:t>
        </w:r>
      </w:hyperlink>
    </w:p>
    <w:p w14:paraId="6177C9D2" w14:textId="77777777" w:rsidR="00DC69C7" w:rsidRPr="00F43F55" w:rsidRDefault="00DC69C7">
      <w:pPr>
        <w:spacing w:line="276" w:lineRule="auto"/>
        <w:jc w:val="both"/>
        <w:rPr>
          <w:rFonts w:ascii="Arial" w:hAnsi="Arial" w:cs="Arial"/>
          <w:bCs/>
          <w:color w:val="FF0000"/>
          <w:sz w:val="20"/>
          <w:szCs w:val="20"/>
        </w:rPr>
      </w:pPr>
    </w:p>
    <w:p w14:paraId="4B8658B4" w14:textId="77777777" w:rsidR="00DC69C7" w:rsidRPr="00F43F55" w:rsidRDefault="00DC69C7">
      <w:pPr>
        <w:spacing w:line="276" w:lineRule="auto"/>
        <w:jc w:val="both"/>
        <w:rPr>
          <w:rFonts w:ascii="Arial" w:hAnsi="Arial" w:cs="Arial"/>
          <w:bCs/>
          <w:color w:val="FF0000"/>
          <w:sz w:val="20"/>
          <w:szCs w:val="20"/>
        </w:rPr>
      </w:pPr>
    </w:p>
    <w:p w14:paraId="7C05BBF1" w14:textId="77777777" w:rsidR="00DC69C7" w:rsidRPr="00F43F55" w:rsidRDefault="00DC69C7">
      <w:pPr>
        <w:spacing w:line="276" w:lineRule="auto"/>
        <w:jc w:val="both"/>
        <w:rPr>
          <w:rFonts w:ascii="Arial" w:hAnsi="Arial" w:cs="Arial"/>
          <w:bCs/>
          <w:color w:val="FF0000"/>
          <w:sz w:val="20"/>
          <w:szCs w:val="20"/>
        </w:rPr>
      </w:pPr>
    </w:p>
    <w:p w14:paraId="230717A4" w14:textId="77777777" w:rsidR="001E0AEA" w:rsidRPr="00F43F55" w:rsidRDefault="001E0AEA">
      <w:pPr>
        <w:spacing w:line="276" w:lineRule="auto"/>
        <w:jc w:val="both"/>
        <w:rPr>
          <w:rFonts w:ascii="Arial" w:hAnsi="Arial" w:cs="Arial"/>
          <w:bCs/>
          <w:color w:val="FF0000"/>
          <w:sz w:val="20"/>
          <w:szCs w:val="20"/>
        </w:rPr>
      </w:pPr>
    </w:p>
    <w:p w14:paraId="0308027E" w14:textId="77777777" w:rsidR="00DC69C7" w:rsidRPr="00F43F55" w:rsidRDefault="00DC69C7">
      <w:pPr>
        <w:spacing w:line="276" w:lineRule="auto"/>
        <w:jc w:val="both"/>
        <w:rPr>
          <w:rFonts w:ascii="Arial" w:hAnsi="Arial" w:cs="Arial"/>
          <w:bCs/>
          <w:color w:val="FF0000"/>
          <w:sz w:val="20"/>
          <w:szCs w:val="20"/>
        </w:rPr>
      </w:pPr>
    </w:p>
    <w:p w14:paraId="65544BA7" w14:textId="599CEBDF" w:rsidR="00DC69C7" w:rsidRPr="00F43F55" w:rsidRDefault="00522FB0">
      <w:pPr>
        <w:spacing w:line="276" w:lineRule="auto"/>
        <w:jc w:val="both"/>
        <w:rPr>
          <w:rFonts w:ascii="Arial" w:hAnsi="Arial" w:cs="Arial"/>
          <w:bCs/>
          <w:sz w:val="20"/>
          <w:szCs w:val="20"/>
        </w:rPr>
      </w:pPr>
      <w:r w:rsidRPr="00F43F55">
        <w:rPr>
          <w:rFonts w:ascii="Arial" w:hAnsi="Arial" w:cs="Arial"/>
          <w:bCs/>
          <w:sz w:val="20"/>
          <w:szCs w:val="20"/>
        </w:rPr>
        <w:t xml:space="preserve">Roma, </w:t>
      </w:r>
      <w:r w:rsidR="00542056" w:rsidRPr="00F43F55">
        <w:rPr>
          <w:rFonts w:ascii="Arial" w:hAnsi="Arial" w:cs="Arial"/>
          <w:bCs/>
          <w:sz w:val="20"/>
          <w:szCs w:val="20"/>
        </w:rPr>
        <w:t>1</w:t>
      </w:r>
      <w:r w:rsidR="00AC228E">
        <w:rPr>
          <w:rFonts w:ascii="Arial" w:hAnsi="Arial" w:cs="Arial"/>
          <w:bCs/>
          <w:sz w:val="20"/>
          <w:szCs w:val="20"/>
        </w:rPr>
        <w:t>8</w:t>
      </w:r>
      <w:r w:rsidR="00542056" w:rsidRPr="00F43F55">
        <w:rPr>
          <w:rFonts w:ascii="Arial" w:hAnsi="Arial" w:cs="Arial"/>
          <w:bCs/>
          <w:sz w:val="20"/>
          <w:szCs w:val="20"/>
        </w:rPr>
        <w:t>/06/2026</w:t>
      </w:r>
    </w:p>
    <w:p w14:paraId="6DE72221" w14:textId="77777777" w:rsidR="00DC69C7" w:rsidRPr="00F43F55" w:rsidRDefault="00522FB0">
      <w:pPr>
        <w:pStyle w:val="Corpotesto"/>
        <w:jc w:val="left"/>
        <w:rPr>
          <w:rFonts w:ascii="Arial" w:hAnsi="Arial" w:cs="Arial"/>
          <w:sz w:val="20"/>
        </w:rPr>
      </w:pPr>
      <w:r w:rsidRPr="00F43F55">
        <w:rPr>
          <w:rFonts w:ascii="Arial" w:hAnsi="Arial" w:cs="Arial"/>
          <w:sz w:val="20"/>
        </w:rPr>
        <w:br w:type="page"/>
      </w:r>
    </w:p>
    <w:p w14:paraId="57154260" w14:textId="77777777" w:rsidR="00DC69C7" w:rsidRPr="00170B9E" w:rsidRDefault="00522FB0">
      <w:pPr>
        <w:spacing w:line="360" w:lineRule="auto"/>
        <w:rPr>
          <w:rFonts w:ascii="Arial" w:hAnsi="Arial" w:cs="Arial"/>
          <w:b/>
          <w:sz w:val="22"/>
          <w:szCs w:val="22"/>
        </w:rPr>
      </w:pPr>
      <w:r w:rsidRPr="00170B9E">
        <w:rPr>
          <w:rFonts w:ascii="Arial" w:hAnsi="Arial" w:cs="Arial"/>
          <w:b/>
          <w:sz w:val="22"/>
          <w:szCs w:val="22"/>
        </w:rPr>
        <w:lastRenderedPageBreak/>
        <w:t>PREMESSA</w:t>
      </w:r>
    </w:p>
    <w:p w14:paraId="5D99FE30" w14:textId="5FF674DF" w:rsidR="00FA1A7D" w:rsidRDefault="00FA1A7D">
      <w:pPr>
        <w:spacing w:after="120" w:line="276" w:lineRule="auto"/>
        <w:jc w:val="both"/>
        <w:rPr>
          <w:rFonts w:ascii="Arial" w:hAnsi="Arial" w:cs="Arial"/>
          <w:sz w:val="20"/>
          <w:szCs w:val="20"/>
        </w:rPr>
      </w:pPr>
      <w:r w:rsidRPr="00FA1A7D">
        <w:rPr>
          <w:rFonts w:ascii="Arial" w:hAnsi="Arial" w:cs="Arial"/>
          <w:sz w:val="20"/>
          <w:szCs w:val="20"/>
        </w:rPr>
        <w:t xml:space="preserve">Nell'ambito delle attività contrattuali poste in essere da </w:t>
      </w:r>
      <w:r w:rsidR="00C85028">
        <w:rPr>
          <w:rFonts w:ascii="Arial" w:hAnsi="Arial" w:cs="Arial"/>
          <w:sz w:val="20"/>
          <w:szCs w:val="20"/>
        </w:rPr>
        <w:t>Sogei</w:t>
      </w:r>
      <w:r w:rsidR="00C85028" w:rsidRPr="00FA1A7D">
        <w:rPr>
          <w:rFonts w:ascii="Arial" w:hAnsi="Arial" w:cs="Arial"/>
          <w:sz w:val="20"/>
          <w:szCs w:val="20"/>
        </w:rPr>
        <w:t xml:space="preserve"> </w:t>
      </w:r>
      <w:r w:rsidRPr="00FA1A7D">
        <w:rPr>
          <w:rFonts w:ascii="Arial" w:hAnsi="Arial" w:cs="Arial"/>
          <w:sz w:val="20"/>
          <w:szCs w:val="20"/>
        </w:rPr>
        <w:t>S.p.A., Consip S.p.A., tramite apposita Convenzione, nonché dall’art. 4, comma 3-bis e comma 3-ter del D.L. n. 95/2012, convertito con L. n. 135/2012, svolge il ruolo di Centrale di Committenza. In ragione del ruolo rivestito, Consip S.p.</w:t>
      </w:r>
      <w:r w:rsidR="002E4965">
        <w:rPr>
          <w:rFonts w:ascii="Arial" w:hAnsi="Arial" w:cs="Arial"/>
          <w:sz w:val="20"/>
          <w:szCs w:val="20"/>
        </w:rPr>
        <w:t>A</w:t>
      </w:r>
      <w:r w:rsidRPr="00FA1A7D">
        <w:rPr>
          <w:rFonts w:ascii="Arial" w:hAnsi="Arial" w:cs="Arial"/>
          <w:sz w:val="20"/>
          <w:szCs w:val="20"/>
        </w:rPr>
        <w:t>. intende procedere alla pubblicazione della presente Consultazione del mercato.</w:t>
      </w:r>
    </w:p>
    <w:p w14:paraId="4E545CAB" w14:textId="37AC071F"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01BF07" w14:textId="77777777" w:rsidR="00FA1A7D" w:rsidRPr="00ED1A5F" w:rsidRDefault="00FA1A7D" w:rsidP="00FA1A7D">
      <w:pPr>
        <w:pStyle w:val="Corpodeltesto21"/>
        <w:numPr>
          <w:ilvl w:val="0"/>
          <w:numId w:val="2"/>
        </w:numPr>
        <w:tabs>
          <w:tab w:val="clear" w:pos="1440"/>
          <w:tab w:val="num" w:pos="360"/>
        </w:tabs>
        <w:spacing w:after="120" w:line="276" w:lineRule="auto"/>
        <w:ind w:left="360"/>
        <w:rPr>
          <w:rFonts w:ascii="Arial" w:hAnsi="Arial" w:cs="Arial"/>
          <w:sz w:val="20"/>
          <w:szCs w:val="20"/>
        </w:rPr>
      </w:pPr>
      <w:r w:rsidRPr="00ED1A5F">
        <w:rPr>
          <w:rFonts w:ascii="Arial" w:hAnsi="Arial" w:cs="Arial"/>
          <w:sz w:val="20"/>
          <w:szCs w:val="20"/>
        </w:rPr>
        <w:t>ricevere, da parte dei soggetti interessati, osservazioni e suggerimenti per una più compiuta conoscenza del mercato</w:t>
      </w:r>
      <w:r>
        <w:rPr>
          <w:rFonts w:ascii="Arial" w:hAnsi="Arial" w:cs="Arial"/>
          <w:sz w:val="20"/>
          <w:szCs w:val="20"/>
        </w:rPr>
        <w:t xml:space="preserve"> </w:t>
      </w:r>
      <w:r w:rsidRPr="003D0041">
        <w:rPr>
          <w:rFonts w:ascii="Arial" w:hAnsi="Arial" w:cs="Arial"/>
          <w:sz w:val="20"/>
          <w:szCs w:val="20"/>
        </w:rPr>
        <w:t>riguardo a eventuali soluzioni alternative purché rispondenti in toto alle esigenze dell’Amministrazione di seguito riportate, anche tenuto conto del contesto di riferimento in cui si colloca l’acquisizione, nonché alle condizioni di prezzo mediamente praticate</w:t>
      </w:r>
      <w:r>
        <w:rPr>
          <w:rFonts w:ascii="Arial" w:hAnsi="Arial" w:cs="Arial"/>
          <w:sz w:val="20"/>
          <w:szCs w:val="20"/>
        </w:rPr>
        <w:t>.</w:t>
      </w:r>
    </w:p>
    <w:p w14:paraId="5322FE52" w14:textId="5B78DF5D" w:rsidR="00DC69C7" w:rsidRPr="001E0AEA" w:rsidRDefault="00FA1A7D" w:rsidP="001E0AEA">
      <w:pPr>
        <w:spacing w:line="276" w:lineRule="auto"/>
        <w:jc w:val="both"/>
        <w:rPr>
          <w:rFonts w:ascii="Arial" w:hAnsi="Arial" w:cs="Arial"/>
          <w:bCs/>
          <w:sz w:val="20"/>
          <w:szCs w:val="20"/>
        </w:rPr>
      </w:pPr>
      <w:r>
        <w:rPr>
          <w:rFonts w:ascii="Arial" w:hAnsi="Arial" w:cs="Arial"/>
          <w:sz w:val="20"/>
          <w:szCs w:val="20"/>
        </w:rPr>
        <w:t xml:space="preserve">In merito all’iniziativa </w:t>
      </w:r>
      <w:r w:rsidR="007602A8">
        <w:rPr>
          <w:rFonts w:ascii="Arial" w:hAnsi="Arial" w:cs="Arial"/>
          <w:sz w:val="20"/>
          <w:szCs w:val="20"/>
        </w:rPr>
        <w:t>per</w:t>
      </w:r>
      <w:r w:rsidR="00BC507E">
        <w:rPr>
          <w:rFonts w:ascii="Arial" w:hAnsi="Arial" w:cs="Arial"/>
          <w:sz w:val="20"/>
          <w:szCs w:val="20"/>
        </w:rPr>
        <w:t xml:space="preserve"> l’”</w:t>
      </w:r>
      <w:r w:rsidR="00BC507E" w:rsidRPr="001E0AEA">
        <w:rPr>
          <w:rFonts w:ascii="Arial" w:hAnsi="Arial" w:cs="Arial"/>
          <w:bCs/>
          <w:sz w:val="20"/>
          <w:szCs w:val="20"/>
        </w:rPr>
        <w:t xml:space="preserve">Acquisizione </w:t>
      </w:r>
      <w:r w:rsidR="009E2B82">
        <w:rPr>
          <w:rFonts w:ascii="Arial" w:hAnsi="Arial" w:cs="Arial"/>
          <w:bCs/>
          <w:sz w:val="20"/>
          <w:szCs w:val="20"/>
        </w:rPr>
        <w:t xml:space="preserve">del rinnovo </w:t>
      </w:r>
      <w:r w:rsidR="00BC507E" w:rsidRPr="001E0AEA">
        <w:rPr>
          <w:rFonts w:ascii="Arial" w:hAnsi="Arial" w:cs="Arial"/>
          <w:bCs/>
          <w:sz w:val="20"/>
          <w:szCs w:val="20"/>
        </w:rPr>
        <w:t>di sottoscrizioni de</w:t>
      </w:r>
      <w:r w:rsidR="00FF2E53">
        <w:rPr>
          <w:rFonts w:ascii="Arial" w:hAnsi="Arial" w:cs="Arial"/>
          <w:bCs/>
          <w:sz w:val="20"/>
          <w:szCs w:val="20"/>
        </w:rPr>
        <w:t>i</w:t>
      </w:r>
      <w:r w:rsidR="00BC507E" w:rsidRPr="001E0AEA">
        <w:rPr>
          <w:rFonts w:ascii="Arial" w:hAnsi="Arial" w:cs="Arial"/>
          <w:bCs/>
          <w:sz w:val="20"/>
          <w:szCs w:val="20"/>
        </w:rPr>
        <w:t xml:space="preserve"> prodott</w:t>
      </w:r>
      <w:r w:rsidR="00FF2E53">
        <w:rPr>
          <w:rFonts w:ascii="Arial" w:hAnsi="Arial" w:cs="Arial"/>
          <w:bCs/>
          <w:sz w:val="20"/>
          <w:szCs w:val="20"/>
        </w:rPr>
        <w:t>i</w:t>
      </w:r>
      <w:r w:rsidR="00BC507E" w:rsidRPr="001E0AEA">
        <w:rPr>
          <w:rFonts w:ascii="Arial" w:hAnsi="Arial" w:cs="Arial"/>
          <w:bCs/>
          <w:sz w:val="20"/>
          <w:szCs w:val="20"/>
        </w:rPr>
        <w:t xml:space="preserve"> software di enterprise architecture </w:t>
      </w:r>
      <w:r w:rsidR="00F464DB">
        <w:rPr>
          <w:rFonts w:ascii="Arial" w:hAnsi="Arial" w:cs="Arial"/>
          <w:bCs/>
          <w:sz w:val="20"/>
          <w:szCs w:val="20"/>
        </w:rPr>
        <w:t>e di data modeler Erwin</w:t>
      </w:r>
      <w:r w:rsidR="002A00AA">
        <w:rPr>
          <w:rFonts w:ascii="Arial" w:hAnsi="Arial" w:cs="Arial"/>
          <w:bCs/>
          <w:sz w:val="20"/>
          <w:szCs w:val="20"/>
        </w:rPr>
        <w:t xml:space="preserve"> per Sogei</w:t>
      </w:r>
      <w:r w:rsidR="00BC507E">
        <w:rPr>
          <w:rFonts w:ascii="Arial" w:hAnsi="Arial" w:cs="Arial"/>
          <w:bCs/>
          <w:sz w:val="20"/>
          <w:szCs w:val="20"/>
        </w:rPr>
        <w:t>”</w:t>
      </w:r>
      <w:r w:rsidR="007602A8">
        <w:rPr>
          <w:rFonts w:ascii="Arial" w:hAnsi="Arial" w:cs="Arial"/>
          <w:sz w:val="20"/>
          <w:szCs w:val="20"/>
        </w:rPr>
        <w:t xml:space="preserve"> </w:t>
      </w:r>
      <w:r w:rsidR="00BC507E">
        <w:rPr>
          <w:rFonts w:ascii="Arial" w:hAnsi="Arial" w:cs="Arial"/>
          <w:sz w:val="20"/>
          <w:szCs w:val="20"/>
        </w:rPr>
        <w:t>v</w:t>
      </w:r>
      <w:r w:rsidR="00522FB0" w:rsidRPr="00170B9E">
        <w:rPr>
          <w:rFonts w:ascii="Arial" w:hAnsi="Arial" w:cs="Arial"/>
          <w:sz w:val="20"/>
          <w:szCs w:val="20"/>
        </w:rPr>
        <w:t xml:space="preserve">i preghiamo di fornire il Vostro contributo - previa presa visione dell’informativa sul trattamento dei dati personali sotto riportata - compilando il presente questionario e inviandolo entro </w:t>
      </w:r>
      <w:r w:rsidR="00522FB0" w:rsidRPr="00170B9E">
        <w:rPr>
          <w:rFonts w:ascii="Arial" w:hAnsi="Arial" w:cs="Arial"/>
          <w:b/>
          <w:bCs/>
          <w:sz w:val="20"/>
          <w:szCs w:val="20"/>
          <w:u w:val="single"/>
        </w:rPr>
        <w:t>15 giorni solari</w:t>
      </w:r>
      <w:r w:rsidR="00522FB0" w:rsidRPr="00170B9E">
        <w:rPr>
          <w:rFonts w:ascii="Arial" w:hAnsi="Arial" w:cs="Arial"/>
          <w:bCs/>
          <w:sz w:val="20"/>
          <w:szCs w:val="20"/>
          <w:u w:val="single"/>
        </w:rPr>
        <w:t xml:space="preserve"> dalla data odierna</w:t>
      </w:r>
      <w:r w:rsidR="00522FB0" w:rsidRPr="00170B9E">
        <w:rPr>
          <w:rFonts w:ascii="Arial" w:hAnsi="Arial" w:cs="Arial"/>
          <w:bCs/>
          <w:color w:val="FF0000"/>
          <w:sz w:val="20"/>
          <w:szCs w:val="20"/>
        </w:rPr>
        <w:t xml:space="preserve"> </w:t>
      </w:r>
      <w:r w:rsidR="00522FB0" w:rsidRPr="00170B9E">
        <w:rPr>
          <w:rFonts w:ascii="Arial" w:hAnsi="Arial" w:cs="Arial"/>
          <w:bCs/>
          <w:sz w:val="20"/>
          <w:szCs w:val="20"/>
        </w:rPr>
        <w:t xml:space="preserve">all’indirizzo PEC </w:t>
      </w:r>
      <w:hyperlink r:id="rId9" w:history="1">
        <w:r w:rsidR="001E0AEA" w:rsidRPr="00F82995">
          <w:rPr>
            <w:rStyle w:val="Collegamentoipertestuale"/>
            <w:rFonts w:ascii="Arial" w:hAnsi="Arial" w:cs="Arial"/>
            <w:bCs/>
            <w:sz w:val="20"/>
            <w:szCs w:val="20"/>
          </w:rPr>
          <w:t>ictconsip@postacert.consip.it</w:t>
        </w:r>
      </w:hyperlink>
      <w:r w:rsidR="001E0AEA">
        <w:rPr>
          <w:rFonts w:ascii="Arial" w:hAnsi="Arial" w:cs="Arial"/>
          <w:bCs/>
          <w:sz w:val="20"/>
          <w:szCs w:val="20"/>
        </w:rPr>
        <w:t xml:space="preserve"> </w:t>
      </w:r>
      <w:r w:rsidR="00522FB0" w:rsidRPr="001E0AEA">
        <w:rPr>
          <w:rFonts w:ascii="Arial" w:hAnsi="Arial" w:cs="Arial"/>
          <w:bCs/>
          <w:sz w:val="20"/>
          <w:szCs w:val="20"/>
        </w:rPr>
        <w:t>specificando nell’oggetto della e-mail: “</w:t>
      </w:r>
      <w:r w:rsidR="00F43F55" w:rsidRPr="00F43F55">
        <w:rPr>
          <w:rFonts w:ascii="Arial" w:hAnsi="Arial" w:cs="Arial"/>
          <w:bCs/>
          <w:sz w:val="20"/>
          <w:szCs w:val="20"/>
        </w:rPr>
        <w:t>Acquisizione del rinnovo di sottoscrizioni dei prodotti software di enterprise architecture e di data modeling Erwin per Sogei</w:t>
      </w:r>
      <w:r w:rsidR="00F43F55">
        <w:rPr>
          <w:rFonts w:ascii="Arial" w:hAnsi="Arial" w:cs="Arial"/>
          <w:bCs/>
          <w:sz w:val="20"/>
          <w:szCs w:val="20"/>
        </w:rPr>
        <w:t xml:space="preserve"> </w:t>
      </w:r>
      <w:r w:rsidR="001E0AEA" w:rsidRPr="001E0AEA">
        <w:rPr>
          <w:rFonts w:ascii="Arial" w:hAnsi="Arial" w:cs="Arial"/>
          <w:bCs/>
          <w:sz w:val="20"/>
          <w:szCs w:val="20"/>
        </w:rPr>
        <w:t>– ID 3027</w:t>
      </w:r>
      <w:r w:rsidR="00522FB0" w:rsidRPr="001E0AEA">
        <w:rPr>
          <w:rFonts w:ascii="Arial" w:hAnsi="Arial" w:cs="Arial"/>
          <w:bCs/>
          <w:sz w:val="20"/>
          <w:szCs w:val="20"/>
        </w:rPr>
        <w:t>”.</w:t>
      </w:r>
    </w:p>
    <w:p w14:paraId="00838222"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pPr>
        <w:pStyle w:val="Titolo1"/>
        <w:numPr>
          <w:ilvl w:val="0"/>
          <w:numId w:val="0"/>
        </w:numPr>
        <w:spacing w:line="276" w:lineRule="auto"/>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pPr>
        <w:pStyle w:val="Titolo1"/>
        <w:numPr>
          <w:ilvl w:val="0"/>
          <w:numId w:val="0"/>
        </w:numPr>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45C75841"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0B918A23"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Se in caso di esercizio del diritto di accesso e dei diritti connessi previsti dagli artt. da 15 a 22 del Regolamento UE, la risposta all'istanza non perviene nei tempi indicati e/o non è soddisfacente, </w:t>
      </w:r>
      <w:r w:rsidRPr="00170B9E">
        <w:rPr>
          <w:rFonts w:ascii="Arial" w:hAnsi="Arial" w:cs="Arial"/>
          <w:sz w:val="20"/>
          <w:szCs w:val="20"/>
        </w:rPr>
        <w:lastRenderedPageBreak/>
        <w:t>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255D1A13" w14:textId="73952C5C" w:rsidR="000C2F46" w:rsidRPr="00C505D6" w:rsidRDefault="00367A5D" w:rsidP="000C2F46">
      <w:pPr>
        <w:pStyle w:val="Titolo1"/>
        <w:numPr>
          <w:ilvl w:val="0"/>
          <w:numId w:val="0"/>
        </w:numPr>
        <w:spacing w:line="276" w:lineRule="auto"/>
        <w:jc w:val="both"/>
        <w:rPr>
          <w:rFonts w:cs="Arial"/>
          <w:sz w:val="20"/>
          <w:szCs w:val="20"/>
        </w:rPr>
      </w:pPr>
      <w:r>
        <w:rPr>
          <w:rFonts w:cs="Arial"/>
          <w:b w:val="0"/>
          <w:sz w:val="20"/>
          <w:szCs w:val="20"/>
        </w:rPr>
        <w:t>L</w:t>
      </w:r>
      <w:r w:rsidR="0089031E" w:rsidRPr="00C505D6">
        <w:rPr>
          <w:rFonts w:cs="Arial"/>
          <w:b w:val="0"/>
          <w:sz w:val="20"/>
          <w:szCs w:val="20"/>
        </w:rPr>
        <w:t>a presente Consultazione del mercato</w:t>
      </w:r>
      <w:r w:rsidR="000C2F46" w:rsidRPr="00C505D6">
        <w:rPr>
          <w:rFonts w:cs="Arial"/>
          <w:b w:val="0"/>
          <w:sz w:val="20"/>
          <w:szCs w:val="20"/>
        </w:rPr>
        <w:t xml:space="preserve">, come già </w:t>
      </w:r>
      <w:r w:rsidR="00C85028">
        <w:rPr>
          <w:rFonts w:cs="Arial"/>
          <w:b w:val="0"/>
          <w:sz w:val="20"/>
          <w:szCs w:val="20"/>
        </w:rPr>
        <w:t>anticipato</w:t>
      </w:r>
      <w:r w:rsidR="000C2F46" w:rsidRPr="00C505D6">
        <w:rPr>
          <w:rFonts w:cs="Arial"/>
          <w:b w:val="0"/>
          <w:sz w:val="20"/>
          <w:szCs w:val="20"/>
        </w:rPr>
        <w:t>,</w:t>
      </w:r>
      <w:r w:rsidR="00C85028">
        <w:rPr>
          <w:rFonts w:cs="Arial"/>
          <w:b w:val="0"/>
          <w:sz w:val="20"/>
          <w:szCs w:val="20"/>
        </w:rPr>
        <w:t xml:space="preserve"> è rel</w:t>
      </w:r>
      <w:r w:rsidR="002A00AA">
        <w:rPr>
          <w:rFonts w:cs="Arial"/>
          <w:b w:val="0"/>
          <w:sz w:val="20"/>
          <w:szCs w:val="20"/>
        </w:rPr>
        <w:t>a</w:t>
      </w:r>
      <w:r w:rsidR="00C85028">
        <w:rPr>
          <w:rFonts w:cs="Arial"/>
          <w:b w:val="0"/>
          <w:sz w:val="20"/>
          <w:szCs w:val="20"/>
        </w:rPr>
        <w:t>tiva</w:t>
      </w:r>
      <w:r w:rsidR="000C2F46" w:rsidRPr="00C505D6">
        <w:rPr>
          <w:rFonts w:cs="Arial"/>
          <w:b w:val="0"/>
          <w:sz w:val="20"/>
          <w:szCs w:val="20"/>
        </w:rPr>
        <w:t xml:space="preserve"> all’acquisizione di sottoscrizioni del prodotto software di enterprise architecture Erwin</w:t>
      </w:r>
      <w:r w:rsidR="006D1116">
        <w:rPr>
          <w:rFonts w:cs="Arial"/>
          <w:b w:val="0"/>
          <w:sz w:val="20"/>
          <w:szCs w:val="20"/>
        </w:rPr>
        <w:t xml:space="preserve"> (Persistent Evolve)</w:t>
      </w:r>
      <w:r w:rsidR="002A00AA">
        <w:rPr>
          <w:rFonts w:cs="Arial"/>
          <w:b w:val="0"/>
          <w:sz w:val="20"/>
          <w:szCs w:val="20"/>
        </w:rPr>
        <w:t xml:space="preserve"> </w:t>
      </w:r>
      <w:r w:rsidR="006D1116">
        <w:rPr>
          <w:rFonts w:cs="Arial"/>
          <w:b w:val="0"/>
          <w:sz w:val="20"/>
          <w:szCs w:val="20"/>
        </w:rPr>
        <w:t>e del data modeler Erwin by Quest</w:t>
      </w:r>
      <w:r w:rsidR="00C85028">
        <w:rPr>
          <w:rFonts w:cs="Arial"/>
          <w:b w:val="0"/>
          <w:sz w:val="20"/>
          <w:szCs w:val="20"/>
        </w:rPr>
        <w:t xml:space="preserve"> per Sogei S.p.A.</w:t>
      </w:r>
    </w:p>
    <w:p w14:paraId="7FBE086A" w14:textId="5B0F514E" w:rsidR="000C2F46" w:rsidRPr="00C505D6" w:rsidRDefault="000C2F46" w:rsidP="000C2F46">
      <w:pPr>
        <w:pStyle w:val="NormaleWeb"/>
        <w:spacing w:before="120" w:after="120" w:line="276" w:lineRule="auto"/>
        <w:jc w:val="both"/>
        <w:rPr>
          <w:rFonts w:ascii="Arial" w:hAnsi="Arial" w:cs="Arial"/>
          <w:sz w:val="20"/>
          <w:szCs w:val="20"/>
        </w:rPr>
      </w:pPr>
      <w:r w:rsidRPr="00C505D6">
        <w:rPr>
          <w:rFonts w:ascii="Arial" w:hAnsi="Arial" w:cs="Arial"/>
          <w:sz w:val="20"/>
          <w:szCs w:val="20"/>
        </w:rPr>
        <w:t>Sogei si avvale, da diversi anni, della piattaforma di Enterprise Architecture Erwin nell’ambito del Sistema Informativo della Fiscalità (SIF) (Agenzia del Demanio e Agenzia delle Entrate) e del Sistema Informativo SOGEI (SIS</w:t>
      </w:r>
      <w:r w:rsidR="002A00AA" w:rsidRPr="00C505D6">
        <w:rPr>
          <w:rFonts w:ascii="Arial" w:hAnsi="Arial" w:cs="Arial"/>
          <w:sz w:val="20"/>
          <w:szCs w:val="20"/>
        </w:rPr>
        <w:t>)</w:t>
      </w:r>
      <w:r w:rsidR="002A00AA">
        <w:rPr>
          <w:rFonts w:ascii="Arial" w:hAnsi="Arial" w:cs="Arial"/>
          <w:sz w:val="20"/>
          <w:szCs w:val="20"/>
        </w:rPr>
        <w:t>, nonché</w:t>
      </w:r>
      <w:r w:rsidR="001830C4">
        <w:rPr>
          <w:rFonts w:ascii="Arial" w:hAnsi="Arial" w:cs="Arial"/>
          <w:sz w:val="20"/>
          <w:szCs w:val="20"/>
        </w:rPr>
        <w:t xml:space="preserve"> per la Data Governance </w:t>
      </w:r>
      <w:r w:rsidR="006D1116">
        <w:rPr>
          <w:rFonts w:ascii="Arial" w:hAnsi="Arial" w:cs="Arial"/>
          <w:sz w:val="20"/>
          <w:szCs w:val="20"/>
        </w:rPr>
        <w:t xml:space="preserve">del prodotto di Data Modeler </w:t>
      </w:r>
      <w:r w:rsidR="001830C4">
        <w:rPr>
          <w:rFonts w:ascii="Arial" w:hAnsi="Arial" w:cs="Arial"/>
          <w:sz w:val="20"/>
          <w:szCs w:val="20"/>
        </w:rPr>
        <w:t>nell’ambito della Ragioneria Generale dello Stato</w:t>
      </w:r>
      <w:r w:rsidRPr="00C505D6">
        <w:rPr>
          <w:rFonts w:ascii="Arial" w:hAnsi="Arial" w:cs="Arial"/>
          <w:sz w:val="20"/>
          <w:szCs w:val="20"/>
        </w:rPr>
        <w:t>.</w:t>
      </w:r>
    </w:p>
    <w:p w14:paraId="2137C0BB" w14:textId="0D56600D" w:rsidR="000C2F46" w:rsidRPr="000C2F46" w:rsidRDefault="006D1116" w:rsidP="000C2F46">
      <w:pPr>
        <w:spacing w:line="276" w:lineRule="auto"/>
        <w:jc w:val="both"/>
        <w:rPr>
          <w:rFonts w:ascii="Arial" w:hAnsi="Arial" w:cs="Arial"/>
          <w:sz w:val="20"/>
          <w:szCs w:val="20"/>
        </w:rPr>
      </w:pPr>
      <w:r>
        <w:rPr>
          <w:rFonts w:ascii="Arial" w:hAnsi="Arial" w:cs="Arial"/>
          <w:sz w:val="20"/>
          <w:szCs w:val="20"/>
        </w:rPr>
        <w:t>I due ambienti gestiti da Sogei</w:t>
      </w:r>
      <w:r w:rsidR="000C2F46" w:rsidRPr="000C2F46">
        <w:rPr>
          <w:rFonts w:ascii="Arial" w:hAnsi="Arial" w:cs="Arial"/>
          <w:sz w:val="20"/>
          <w:szCs w:val="20"/>
        </w:rPr>
        <w:t xml:space="preserve"> </w:t>
      </w:r>
      <w:r>
        <w:rPr>
          <w:rFonts w:ascii="Arial" w:hAnsi="Arial" w:cs="Arial"/>
          <w:sz w:val="20"/>
          <w:szCs w:val="20"/>
        </w:rPr>
        <w:t>contengono</w:t>
      </w:r>
      <w:r w:rsidR="000C2F46" w:rsidRPr="000C2F46">
        <w:rPr>
          <w:rFonts w:ascii="Arial" w:hAnsi="Arial" w:cs="Arial"/>
          <w:sz w:val="20"/>
          <w:szCs w:val="20"/>
        </w:rPr>
        <w:t xml:space="preserve"> attualmente le informazioni relative:</w:t>
      </w:r>
    </w:p>
    <w:p w14:paraId="487D5E3C" w14:textId="53DB9B0A" w:rsidR="000C2F46" w:rsidRPr="000C2F46" w:rsidRDefault="000C2F46" w:rsidP="002A00AA">
      <w:pPr>
        <w:spacing w:line="276" w:lineRule="auto"/>
        <w:ind w:left="142" w:hanging="142"/>
        <w:jc w:val="both"/>
        <w:rPr>
          <w:rFonts w:ascii="Arial" w:hAnsi="Arial" w:cs="Arial"/>
          <w:sz w:val="20"/>
          <w:szCs w:val="20"/>
        </w:rPr>
      </w:pPr>
      <w:r w:rsidRPr="000C2F46">
        <w:rPr>
          <w:rFonts w:ascii="Arial" w:hAnsi="Arial" w:cs="Arial"/>
          <w:sz w:val="20"/>
          <w:szCs w:val="20"/>
        </w:rPr>
        <w:t>• all’ICT di Sogei e delle Amministrazioni Finanziarie (servizi ICT, applicazioni,</w:t>
      </w:r>
      <w:r w:rsidRPr="00C505D6">
        <w:rPr>
          <w:rFonts w:ascii="Arial" w:hAnsi="Arial" w:cs="Arial"/>
          <w:sz w:val="20"/>
          <w:szCs w:val="20"/>
        </w:rPr>
        <w:t xml:space="preserve"> </w:t>
      </w:r>
      <w:r w:rsidRPr="000C2F46">
        <w:rPr>
          <w:rFonts w:ascii="Arial" w:hAnsi="Arial" w:cs="Arial"/>
          <w:sz w:val="20"/>
          <w:szCs w:val="20"/>
        </w:rPr>
        <w:t>servici tecnici, termini di business, archivi logici, moduli runtime, componenti</w:t>
      </w:r>
      <w:r w:rsidRPr="00C505D6">
        <w:rPr>
          <w:rFonts w:ascii="Arial" w:hAnsi="Arial" w:cs="Arial"/>
          <w:sz w:val="20"/>
          <w:szCs w:val="20"/>
        </w:rPr>
        <w:t xml:space="preserve"> </w:t>
      </w:r>
      <w:r w:rsidRPr="000C2F46">
        <w:rPr>
          <w:rFonts w:ascii="Arial" w:hAnsi="Arial" w:cs="Arial"/>
          <w:sz w:val="20"/>
          <w:szCs w:val="20"/>
        </w:rPr>
        <w:t>tecnologici, server)</w:t>
      </w:r>
      <w:r w:rsidR="006E275A">
        <w:rPr>
          <w:rFonts w:ascii="Arial" w:hAnsi="Arial" w:cs="Arial"/>
          <w:sz w:val="20"/>
          <w:szCs w:val="20"/>
        </w:rPr>
        <w:t>;</w:t>
      </w:r>
    </w:p>
    <w:p w14:paraId="44C1F05B" w14:textId="6C8E84E2" w:rsidR="000C2F46" w:rsidRPr="000C2F46" w:rsidRDefault="000C2F46" w:rsidP="002A00AA">
      <w:pPr>
        <w:spacing w:line="276" w:lineRule="auto"/>
        <w:ind w:left="142" w:hanging="142"/>
        <w:jc w:val="both"/>
        <w:rPr>
          <w:rFonts w:ascii="Arial" w:hAnsi="Arial" w:cs="Arial"/>
          <w:sz w:val="20"/>
          <w:szCs w:val="20"/>
        </w:rPr>
      </w:pPr>
      <w:r w:rsidRPr="000C2F46">
        <w:rPr>
          <w:rFonts w:ascii="Arial" w:hAnsi="Arial" w:cs="Arial"/>
          <w:sz w:val="20"/>
          <w:szCs w:val="20"/>
        </w:rPr>
        <w:t>• al business di Sogei in termini di: trattamenti privacy fino alla produzione del</w:t>
      </w:r>
      <w:r w:rsidRPr="00C505D6">
        <w:rPr>
          <w:rFonts w:ascii="Arial" w:hAnsi="Arial" w:cs="Arial"/>
          <w:sz w:val="20"/>
          <w:szCs w:val="20"/>
        </w:rPr>
        <w:t xml:space="preserve"> </w:t>
      </w:r>
      <w:r w:rsidRPr="000C2F46">
        <w:rPr>
          <w:rFonts w:ascii="Arial" w:hAnsi="Arial" w:cs="Arial"/>
          <w:sz w:val="20"/>
          <w:szCs w:val="20"/>
        </w:rPr>
        <w:t>Registro Titolare; processi rappresentati in apposite viste di sintesi per</w:t>
      </w:r>
      <w:r w:rsidRPr="00C505D6">
        <w:rPr>
          <w:rFonts w:ascii="Arial" w:hAnsi="Arial" w:cs="Arial"/>
          <w:sz w:val="20"/>
          <w:szCs w:val="20"/>
        </w:rPr>
        <w:t xml:space="preserve"> </w:t>
      </w:r>
      <w:r w:rsidRPr="000C2F46">
        <w:rPr>
          <w:rFonts w:ascii="Arial" w:hAnsi="Arial" w:cs="Arial"/>
          <w:sz w:val="20"/>
          <w:szCs w:val="20"/>
        </w:rPr>
        <w:t>evidenziare i profili di rischio; presidio mediante controlli specialistici per le</w:t>
      </w:r>
      <w:r w:rsidRPr="00C505D6">
        <w:rPr>
          <w:rFonts w:ascii="Arial" w:hAnsi="Arial" w:cs="Arial"/>
          <w:sz w:val="20"/>
          <w:szCs w:val="20"/>
        </w:rPr>
        <w:t xml:space="preserve"> </w:t>
      </w:r>
      <w:r w:rsidRPr="000C2F46">
        <w:rPr>
          <w:rFonts w:ascii="Arial" w:hAnsi="Arial" w:cs="Arial"/>
          <w:sz w:val="20"/>
          <w:szCs w:val="20"/>
        </w:rPr>
        <w:t>diverse normative e compliance</w:t>
      </w:r>
      <w:r w:rsidR="00BE5CF8" w:rsidRPr="00C505D6">
        <w:rPr>
          <w:rFonts w:ascii="Arial" w:hAnsi="Arial" w:cs="Arial"/>
          <w:sz w:val="20"/>
          <w:szCs w:val="20"/>
        </w:rPr>
        <w:t>;</w:t>
      </w:r>
    </w:p>
    <w:p w14:paraId="41C0A842" w14:textId="34CCC862" w:rsidR="000C2F46" w:rsidRPr="000C2F46" w:rsidRDefault="000C2F46" w:rsidP="002A00AA">
      <w:pPr>
        <w:spacing w:line="276" w:lineRule="auto"/>
        <w:ind w:left="142" w:hanging="142"/>
        <w:jc w:val="both"/>
        <w:rPr>
          <w:rFonts w:ascii="Arial" w:hAnsi="Arial" w:cs="Arial"/>
          <w:sz w:val="20"/>
          <w:szCs w:val="20"/>
        </w:rPr>
      </w:pPr>
      <w:r w:rsidRPr="000C2F46">
        <w:rPr>
          <w:rFonts w:ascii="Arial" w:hAnsi="Arial" w:cs="Arial"/>
          <w:sz w:val="20"/>
          <w:szCs w:val="20"/>
        </w:rPr>
        <w:t>• all’Agenzia del Demanio in termini di processi di business e di trattamenti</w:t>
      </w:r>
      <w:r w:rsidRPr="00C505D6">
        <w:rPr>
          <w:rFonts w:ascii="Arial" w:hAnsi="Arial" w:cs="Arial"/>
          <w:sz w:val="20"/>
          <w:szCs w:val="20"/>
        </w:rPr>
        <w:t xml:space="preserve"> </w:t>
      </w:r>
      <w:r w:rsidRPr="000C2F46">
        <w:rPr>
          <w:rFonts w:ascii="Arial" w:hAnsi="Arial" w:cs="Arial"/>
          <w:sz w:val="20"/>
          <w:szCs w:val="20"/>
        </w:rPr>
        <w:t>privacy, al fine della produzione dei Registri Titolare e Responsabile; per l’area</w:t>
      </w:r>
      <w:r w:rsidRPr="00C505D6">
        <w:rPr>
          <w:rFonts w:ascii="Arial" w:hAnsi="Arial" w:cs="Arial"/>
          <w:sz w:val="20"/>
          <w:szCs w:val="20"/>
        </w:rPr>
        <w:t xml:space="preserve"> </w:t>
      </w:r>
      <w:r w:rsidRPr="000C2F46">
        <w:rPr>
          <w:rFonts w:ascii="Arial" w:hAnsi="Arial" w:cs="Arial"/>
          <w:sz w:val="20"/>
          <w:szCs w:val="20"/>
        </w:rPr>
        <w:t>ICT, comprendente i servizi ICT, applicazioni, archivi logici gestiti da Sogei</w:t>
      </w:r>
      <w:r w:rsidR="00BE5CF8" w:rsidRPr="00C505D6">
        <w:rPr>
          <w:rFonts w:ascii="Arial" w:hAnsi="Arial" w:cs="Arial"/>
          <w:sz w:val="20"/>
          <w:szCs w:val="20"/>
        </w:rPr>
        <w:t>;</w:t>
      </w:r>
    </w:p>
    <w:p w14:paraId="27BC049F" w14:textId="77777777" w:rsidR="001830C4" w:rsidRDefault="000C2F46" w:rsidP="002A00AA">
      <w:pPr>
        <w:spacing w:line="276" w:lineRule="auto"/>
        <w:ind w:left="142" w:hanging="142"/>
        <w:jc w:val="both"/>
        <w:rPr>
          <w:rFonts w:ascii="Arial" w:hAnsi="Arial" w:cs="Arial"/>
          <w:sz w:val="20"/>
          <w:szCs w:val="20"/>
        </w:rPr>
      </w:pPr>
      <w:r w:rsidRPr="000C2F46">
        <w:rPr>
          <w:rFonts w:ascii="Arial" w:hAnsi="Arial" w:cs="Arial"/>
          <w:sz w:val="20"/>
          <w:szCs w:val="20"/>
        </w:rPr>
        <w:t>• all’Agenzia delle Entrate per la gestione degli strumenti di business a supporto</w:t>
      </w:r>
      <w:r w:rsidR="00BE5CF8" w:rsidRPr="00C505D6">
        <w:rPr>
          <w:rFonts w:ascii="Arial" w:hAnsi="Arial" w:cs="Arial"/>
          <w:sz w:val="20"/>
          <w:szCs w:val="20"/>
        </w:rPr>
        <w:t xml:space="preserve"> </w:t>
      </w:r>
      <w:r w:rsidRPr="000C2F46">
        <w:rPr>
          <w:rFonts w:ascii="Arial" w:hAnsi="Arial" w:cs="Arial"/>
          <w:sz w:val="20"/>
          <w:szCs w:val="20"/>
        </w:rPr>
        <w:t>dei servizi ICT e per l’integrazione della piattaforma con i sistemi esterni come</w:t>
      </w:r>
      <w:r w:rsidR="00BE5CF8" w:rsidRPr="00C505D6">
        <w:rPr>
          <w:rFonts w:ascii="Arial" w:hAnsi="Arial" w:cs="Arial"/>
          <w:sz w:val="20"/>
          <w:szCs w:val="20"/>
        </w:rPr>
        <w:t xml:space="preserve"> </w:t>
      </w:r>
      <w:r w:rsidRPr="000C2F46">
        <w:rPr>
          <w:rFonts w:ascii="Arial" w:hAnsi="Arial" w:cs="Arial"/>
          <w:sz w:val="20"/>
          <w:szCs w:val="20"/>
        </w:rPr>
        <w:t>Archer, Data Lake e applicazioni web custom e, a seguire, in base alle ultime</w:t>
      </w:r>
      <w:r w:rsidR="00BE5CF8" w:rsidRPr="00C505D6">
        <w:rPr>
          <w:rFonts w:ascii="Arial" w:hAnsi="Arial" w:cs="Arial"/>
          <w:sz w:val="20"/>
          <w:szCs w:val="20"/>
        </w:rPr>
        <w:t xml:space="preserve"> </w:t>
      </w:r>
      <w:r w:rsidRPr="00C505D6">
        <w:rPr>
          <w:rFonts w:ascii="Arial" w:hAnsi="Arial" w:cs="Arial"/>
          <w:sz w:val="20"/>
          <w:szCs w:val="20"/>
        </w:rPr>
        <w:t>richieste del cliente, anche con il sistema di assistenza</w:t>
      </w:r>
      <w:r w:rsidR="001830C4">
        <w:rPr>
          <w:rFonts w:ascii="Arial" w:hAnsi="Arial" w:cs="Arial"/>
          <w:sz w:val="20"/>
          <w:szCs w:val="20"/>
        </w:rPr>
        <w:t>;</w:t>
      </w:r>
    </w:p>
    <w:p w14:paraId="74422C15" w14:textId="22060F2D" w:rsidR="008E5411" w:rsidRPr="008E5411" w:rsidRDefault="001830C4" w:rsidP="002A00AA">
      <w:pPr>
        <w:spacing w:line="276" w:lineRule="auto"/>
        <w:ind w:left="142" w:hanging="142"/>
        <w:jc w:val="both"/>
        <w:rPr>
          <w:rFonts w:ascii="Arial" w:hAnsi="Arial" w:cs="Arial"/>
          <w:sz w:val="20"/>
          <w:szCs w:val="20"/>
        </w:rPr>
      </w:pPr>
      <w:r w:rsidRPr="000C2F46">
        <w:rPr>
          <w:rFonts w:ascii="Arial" w:hAnsi="Arial" w:cs="Arial"/>
          <w:sz w:val="20"/>
          <w:szCs w:val="20"/>
        </w:rPr>
        <w:t xml:space="preserve">• </w:t>
      </w:r>
      <w:r>
        <w:rPr>
          <w:rFonts w:ascii="Arial" w:hAnsi="Arial" w:cs="Arial"/>
          <w:sz w:val="20"/>
          <w:szCs w:val="20"/>
        </w:rPr>
        <w:t xml:space="preserve">alla Ragioneria Generale dello Stato </w:t>
      </w:r>
      <w:r w:rsidR="008E5411">
        <w:rPr>
          <w:rFonts w:ascii="Arial" w:hAnsi="Arial" w:cs="Arial"/>
          <w:sz w:val="20"/>
          <w:szCs w:val="20"/>
        </w:rPr>
        <w:t>con il prodotto</w:t>
      </w:r>
      <w:r w:rsidR="008E5411" w:rsidRPr="008E5411">
        <w:rPr>
          <w:rFonts w:ascii="Arial" w:hAnsi="Arial" w:cs="Arial"/>
          <w:sz w:val="20"/>
          <w:szCs w:val="20"/>
        </w:rPr>
        <w:t xml:space="preserve"> software Data Modeler </w:t>
      </w:r>
      <w:r w:rsidR="008E5411">
        <w:rPr>
          <w:rFonts w:ascii="Arial" w:hAnsi="Arial" w:cs="Arial"/>
          <w:sz w:val="20"/>
          <w:szCs w:val="20"/>
        </w:rPr>
        <w:t>per la progettazione e la gestione del</w:t>
      </w:r>
      <w:r w:rsidR="008E5411" w:rsidRPr="008E5411">
        <w:rPr>
          <w:rFonts w:ascii="Arial" w:hAnsi="Arial" w:cs="Arial"/>
          <w:sz w:val="20"/>
          <w:szCs w:val="20"/>
        </w:rPr>
        <w:t>le basi dati dei sistemi di business intelligence</w:t>
      </w:r>
      <w:r w:rsidR="008E5411">
        <w:rPr>
          <w:rFonts w:ascii="Arial" w:hAnsi="Arial" w:cs="Arial"/>
          <w:sz w:val="20"/>
          <w:szCs w:val="20"/>
        </w:rPr>
        <w:t xml:space="preserve"> e a tendere, per la Data Governance di tutti i clienti di Sogei.</w:t>
      </w:r>
    </w:p>
    <w:p w14:paraId="3AAAB1D8" w14:textId="2F3020BC" w:rsidR="001830C4" w:rsidRPr="00C505D6" w:rsidRDefault="001830C4" w:rsidP="008E5411">
      <w:pPr>
        <w:spacing w:line="276" w:lineRule="auto"/>
        <w:jc w:val="both"/>
        <w:rPr>
          <w:rFonts w:ascii="Arial" w:hAnsi="Arial" w:cs="Arial"/>
          <w:sz w:val="20"/>
          <w:szCs w:val="20"/>
        </w:rPr>
      </w:pPr>
    </w:p>
    <w:p w14:paraId="2DAB28D5" w14:textId="77777777" w:rsidR="00BE5CF8" w:rsidRPr="00C505D6" w:rsidRDefault="00BE5CF8" w:rsidP="000C2F46">
      <w:pPr>
        <w:spacing w:line="276" w:lineRule="auto"/>
        <w:jc w:val="both"/>
        <w:rPr>
          <w:rFonts w:ascii="Arial" w:hAnsi="Arial" w:cs="Arial"/>
          <w:sz w:val="20"/>
          <w:szCs w:val="20"/>
        </w:rPr>
      </w:pPr>
    </w:p>
    <w:p w14:paraId="0F7EB9D6" w14:textId="45AF9B54" w:rsidR="004F5D47" w:rsidRPr="004F5D47" w:rsidRDefault="0070664E" w:rsidP="004F5D47">
      <w:pPr>
        <w:spacing w:line="276" w:lineRule="auto"/>
        <w:jc w:val="both"/>
        <w:rPr>
          <w:rFonts w:ascii="Arial" w:hAnsi="Arial" w:cs="Arial"/>
          <w:sz w:val="20"/>
          <w:szCs w:val="20"/>
        </w:rPr>
      </w:pPr>
      <w:r w:rsidRPr="00C505D6">
        <w:rPr>
          <w:rFonts w:ascii="Arial" w:hAnsi="Arial" w:cs="Arial"/>
          <w:sz w:val="20"/>
          <w:szCs w:val="20"/>
        </w:rPr>
        <w:t xml:space="preserve">Erwin </w:t>
      </w:r>
      <w:r w:rsidR="004F5D47" w:rsidRPr="004F5D47">
        <w:rPr>
          <w:rFonts w:ascii="Arial" w:hAnsi="Arial" w:cs="Arial"/>
          <w:sz w:val="20"/>
          <w:szCs w:val="20"/>
        </w:rPr>
        <w:t>soddisfa</w:t>
      </w:r>
      <w:r w:rsidRPr="00C505D6">
        <w:rPr>
          <w:rFonts w:ascii="Arial" w:hAnsi="Arial" w:cs="Arial"/>
          <w:sz w:val="20"/>
          <w:szCs w:val="20"/>
        </w:rPr>
        <w:t xml:space="preserve"> </w:t>
      </w:r>
      <w:r w:rsidR="004F5D47" w:rsidRPr="004F5D47">
        <w:rPr>
          <w:rFonts w:ascii="Arial" w:hAnsi="Arial" w:cs="Arial"/>
          <w:sz w:val="20"/>
          <w:szCs w:val="20"/>
        </w:rPr>
        <w:t xml:space="preserve">i seguenti requisiti tecnici, i quali </w:t>
      </w:r>
      <w:r w:rsidRPr="00C505D6">
        <w:rPr>
          <w:rFonts w:ascii="Arial" w:hAnsi="Arial" w:cs="Arial"/>
          <w:sz w:val="20"/>
          <w:szCs w:val="20"/>
        </w:rPr>
        <w:t>da Sogei sono</w:t>
      </w:r>
      <w:r w:rsidR="004F5D47" w:rsidRPr="004F5D47">
        <w:rPr>
          <w:rFonts w:ascii="Arial" w:hAnsi="Arial" w:cs="Arial"/>
          <w:sz w:val="20"/>
          <w:szCs w:val="20"/>
        </w:rPr>
        <w:t xml:space="preserve"> considerati </w:t>
      </w:r>
      <w:r w:rsidR="0006460C" w:rsidRPr="00C505D6">
        <w:rPr>
          <w:rFonts w:ascii="Arial" w:hAnsi="Arial" w:cs="Arial"/>
          <w:sz w:val="20"/>
          <w:szCs w:val="20"/>
        </w:rPr>
        <w:t>come</w:t>
      </w:r>
      <w:r w:rsidR="004F5D47" w:rsidRPr="004F5D47">
        <w:rPr>
          <w:rFonts w:ascii="Arial" w:hAnsi="Arial" w:cs="Arial"/>
          <w:sz w:val="20"/>
          <w:szCs w:val="20"/>
        </w:rPr>
        <w:t xml:space="preserve"> requisiti minimi </w:t>
      </w:r>
      <w:r w:rsidRPr="00C505D6">
        <w:rPr>
          <w:rFonts w:ascii="Arial" w:hAnsi="Arial" w:cs="Arial"/>
          <w:sz w:val="20"/>
          <w:szCs w:val="20"/>
        </w:rPr>
        <w:t>per una</w:t>
      </w:r>
      <w:r w:rsidRPr="004F5D47">
        <w:rPr>
          <w:rFonts w:ascii="Arial" w:hAnsi="Arial" w:cs="Arial"/>
          <w:sz w:val="20"/>
          <w:szCs w:val="20"/>
        </w:rPr>
        <w:t xml:space="preserve"> soluzione </w:t>
      </w:r>
      <w:r w:rsidRPr="00C505D6">
        <w:rPr>
          <w:rFonts w:ascii="Arial" w:hAnsi="Arial" w:cs="Arial"/>
          <w:sz w:val="20"/>
          <w:szCs w:val="20"/>
        </w:rPr>
        <w:t xml:space="preserve">di </w:t>
      </w:r>
      <w:r w:rsidRPr="004F5D47">
        <w:rPr>
          <w:rFonts w:ascii="Arial" w:hAnsi="Arial" w:cs="Arial"/>
          <w:sz w:val="20"/>
          <w:szCs w:val="20"/>
        </w:rPr>
        <w:t>E</w:t>
      </w:r>
      <w:r w:rsidRPr="00C505D6">
        <w:rPr>
          <w:rFonts w:ascii="Arial" w:hAnsi="Arial" w:cs="Arial"/>
          <w:sz w:val="20"/>
          <w:szCs w:val="20"/>
        </w:rPr>
        <w:t>A; in particolare la soluzione di EA deve</w:t>
      </w:r>
      <w:r w:rsidR="004F5D47" w:rsidRPr="004F5D47">
        <w:rPr>
          <w:rFonts w:ascii="Arial" w:hAnsi="Arial" w:cs="Arial"/>
          <w:sz w:val="20"/>
          <w:szCs w:val="20"/>
        </w:rPr>
        <w:t>:</w:t>
      </w:r>
    </w:p>
    <w:p w14:paraId="0BAC1160" w14:textId="58C60207" w:rsidR="004F5D47" w:rsidRPr="002A00AA" w:rsidRDefault="0084340E" w:rsidP="002A00AA">
      <w:pPr>
        <w:tabs>
          <w:tab w:val="left" w:pos="648"/>
        </w:tabs>
        <w:spacing w:line="276" w:lineRule="auto"/>
        <w:jc w:val="both"/>
        <w:rPr>
          <w:rFonts w:ascii="Arial" w:hAnsi="Arial" w:cs="Arial"/>
          <w:b/>
          <w:sz w:val="20"/>
          <w:szCs w:val="20"/>
        </w:rPr>
      </w:pPr>
      <w:r w:rsidRPr="0084340E">
        <w:rPr>
          <w:rFonts w:ascii="Arial" w:hAnsi="Arial" w:cs="Arial"/>
          <w:b/>
          <w:sz w:val="20"/>
          <w:szCs w:val="20"/>
        </w:rPr>
        <w:t>-</w:t>
      </w:r>
      <w:r>
        <w:rPr>
          <w:rFonts w:ascii="Arial" w:hAnsi="Arial" w:cs="Arial"/>
          <w:b/>
          <w:sz w:val="20"/>
          <w:szCs w:val="20"/>
        </w:rPr>
        <w:t xml:space="preserve"> </w:t>
      </w:r>
      <w:r w:rsidR="004F5D47" w:rsidRPr="002A00AA">
        <w:rPr>
          <w:rFonts w:ascii="Arial" w:hAnsi="Arial" w:cs="Arial"/>
          <w:b/>
          <w:sz w:val="20"/>
          <w:szCs w:val="20"/>
        </w:rPr>
        <w:t>analisi di impatto</w:t>
      </w:r>
    </w:p>
    <w:p w14:paraId="37F15D43" w14:textId="00248DFC" w:rsidR="006446D6" w:rsidRPr="006446D6" w:rsidRDefault="006446D6" w:rsidP="00FE00F4">
      <w:pPr>
        <w:numPr>
          <w:ilvl w:val="0"/>
          <w:numId w:val="15"/>
        </w:numPr>
        <w:tabs>
          <w:tab w:val="clear" w:pos="360"/>
        </w:tabs>
        <w:spacing w:line="276" w:lineRule="auto"/>
        <w:ind w:left="709" w:hanging="425"/>
        <w:jc w:val="both"/>
        <w:rPr>
          <w:rFonts w:ascii="Arial" w:hAnsi="Arial" w:cs="Arial"/>
          <w:sz w:val="20"/>
          <w:szCs w:val="20"/>
        </w:rPr>
      </w:pPr>
      <w:r w:rsidRPr="00C505D6">
        <w:rPr>
          <w:rFonts w:ascii="Arial" w:hAnsi="Arial" w:cs="Arial"/>
          <w:noProof/>
          <w:sz w:val="20"/>
          <w:szCs w:val="20"/>
        </w:rPr>
        <mc:AlternateContent>
          <mc:Choice Requires="wps">
            <w:drawing>
              <wp:anchor distT="0" distB="0" distL="114300" distR="114300" simplePos="0" relativeHeight="251659264" behindDoc="0" locked="0" layoutInCell="1" allowOverlap="1" wp14:anchorId="046BD5AF" wp14:editId="282E4E35">
                <wp:simplePos x="0" y="0"/>
                <wp:positionH relativeFrom="page">
                  <wp:posOffset>1069975</wp:posOffset>
                </wp:positionH>
                <wp:positionV relativeFrom="page">
                  <wp:posOffset>880745</wp:posOffset>
                </wp:positionV>
                <wp:extent cx="5502275" cy="0"/>
                <wp:effectExtent l="12700" t="13970" r="9525" b="5080"/>
                <wp:wrapNone/>
                <wp:docPr id="1491465626"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2275" cy="0"/>
                        </a:xfrm>
                        <a:prstGeom prst="line">
                          <a:avLst/>
                        </a:prstGeom>
                        <a:noFill/>
                        <a:ln w="8890">
                          <a:solidFill>
                            <a:srgbClr val="747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B386"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25pt,69.35pt" to="517.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P8vgEAAGEDAAAOAAAAZHJzL2Uyb0RvYy54bWysU8tu2zAQvBfoPxC815KNunYEyznYTS5p&#10;ayDpB6xJSiJKcQkubcl/X5J+JEhuRS/Ech/D2dnl6n7sDTsqTxptzaeTkjNlBUpt25r/fnn4suSM&#10;AlgJBq2q+UkRv19//rQaXKVm2KGRyrMIYqkaXM27EFxVFCQ61QNN0Ckbgw36HkK8+raQHoaI3pti&#10;VpbfigG9dB6FIore7TnI1xm/aZQIv5qGVGCm5pFbyKfP5z6dxXoFVevBdVpcaMA/sOhB2/joDWoL&#10;AdjB6w9QvRYeCZswEdgX2DRaqNxD7GZavuvmuQOnci9RHHI3mej/wYqfx43d+URdjPbZPaH4Q8zi&#10;pgPbqkzg5eTi4KZJqmJwVN1K0oXczrP98ANlzIFDwKzC2Pg+Qcb+2JjFPt3EVmNgIjrn83I2W8w5&#10;E9dYAdW10HkKjwp7loyaG22TDlDB8YlCIgLVNSW5LT5oY/IsjWVDzZfLuzIXEBotUzClkW/3G+PZ&#10;EeI2LL4ulotN7ipG3qYl5C1Qd87LofOeeDxYmV/pFMjvFzuANmc7sjL2olISJm0hVXuUp52/qhfn&#10;mOlfdi4tytt7rn79Geu/AAAA//8DAFBLAwQUAAYACAAAACEAWxkqNOAAAAAMAQAADwAAAGRycy9k&#10;b3ducmV2LnhtbEyPwU7DMBBE70j8g7VIXBB1oDREIU5VIYHEgQKlH+DG28QQr4PttuHv2UpIcNvZ&#10;Hc2+qeaj68UeQ7SeFFxNMhBIjTeWWgXr94fLAkRMmozuPaGCb4wwr09PKl0af6A33K9SKziEYqkV&#10;dCkNpZSx6dDpOPEDEt+2PjidWIZWmqAPHO56eZ1luXTaEn/o9ID3HTafq51TcPP4ZJYfwzJtw+LC&#10;vr7Y/Nmsv5Q6PxsXdyASjunPDEd8RoeamTZ+RyaKnnVezNjKw7S4BXF0ZNMZ19v8rmRdyf8l6h8A&#10;AAD//wMAUEsBAi0AFAAGAAgAAAAhALaDOJL+AAAA4QEAABMAAAAAAAAAAAAAAAAAAAAAAFtDb250&#10;ZW50X1R5cGVzXS54bWxQSwECLQAUAAYACAAAACEAOP0h/9YAAACUAQAACwAAAAAAAAAAAAAAAAAv&#10;AQAAX3JlbHMvLnJlbHNQSwECLQAUAAYACAAAACEAz+YT/L4BAABhAwAADgAAAAAAAAAAAAAAAAAu&#10;AgAAZHJzL2Uyb0RvYy54bWxQSwECLQAUAAYACAAAACEAWxkqNOAAAAAMAQAADwAAAAAAAAAAAAAA&#10;AAAYBAAAZHJzL2Rvd25yZXYueG1sUEsFBgAAAAAEAAQA8wAAACUFAAAAAA==&#10;" strokecolor="#74787c" strokeweight=".7pt">
                <w10:wrap anchorx="page" anchory="page"/>
              </v:line>
            </w:pict>
          </mc:Fallback>
        </mc:AlternateContent>
      </w:r>
      <w:r w:rsidRPr="006446D6">
        <w:rPr>
          <w:rFonts w:ascii="Arial" w:hAnsi="Arial" w:cs="Arial"/>
          <w:sz w:val="20"/>
          <w:szCs w:val="20"/>
        </w:rPr>
        <w:t xml:space="preserve">consentire di tradurre decisioni strategiche in programmi operativi di trasformazione, valutandone ambiti ed impatti secondo le viste diversificate per i diversi profili utente; </w:t>
      </w:r>
      <w:r w:rsidR="0070664E" w:rsidRPr="00C505D6">
        <w:rPr>
          <w:rFonts w:ascii="Arial" w:hAnsi="Arial" w:cs="Arial"/>
          <w:sz w:val="20"/>
          <w:szCs w:val="20"/>
        </w:rPr>
        <w:t>deve</w:t>
      </w:r>
      <w:r w:rsidRPr="006446D6">
        <w:rPr>
          <w:rFonts w:ascii="Arial" w:hAnsi="Arial" w:cs="Arial"/>
          <w:sz w:val="20"/>
          <w:szCs w:val="20"/>
        </w:rPr>
        <w:t xml:space="preserve"> anche documentare, visualizzare, analizzare e ottimizzare i processi di business “end-to-end”, le organizzazioni owner, le applicazioni e i sistemi informativi a supporto, mostrandone le catene di relazione ed influenza, così da avere una visione d’insieme e costantemente aggiornata del business e dell’IT e degli scenari in cui l’azienda opera e si trasforma</w:t>
      </w:r>
      <w:r w:rsidR="00786A9E">
        <w:rPr>
          <w:rFonts w:ascii="Arial" w:hAnsi="Arial" w:cs="Arial"/>
          <w:sz w:val="20"/>
          <w:szCs w:val="20"/>
        </w:rPr>
        <w:t>.</w:t>
      </w:r>
    </w:p>
    <w:p w14:paraId="4193A024" w14:textId="2C1A8426" w:rsidR="006446D6" w:rsidRPr="002A00AA" w:rsidRDefault="0084340E" w:rsidP="002A00AA">
      <w:pPr>
        <w:tabs>
          <w:tab w:val="left" w:pos="648"/>
        </w:tabs>
        <w:spacing w:line="276" w:lineRule="auto"/>
        <w:jc w:val="both"/>
        <w:rPr>
          <w:rFonts w:ascii="Arial" w:hAnsi="Arial" w:cs="Arial"/>
          <w:b/>
          <w:sz w:val="20"/>
          <w:szCs w:val="20"/>
        </w:rPr>
      </w:pPr>
      <w:r w:rsidRPr="0084340E">
        <w:rPr>
          <w:rFonts w:ascii="Arial" w:hAnsi="Arial" w:cs="Arial"/>
          <w:b/>
          <w:sz w:val="20"/>
          <w:szCs w:val="20"/>
        </w:rPr>
        <w:t>-</w:t>
      </w:r>
      <w:r>
        <w:rPr>
          <w:rFonts w:ascii="Arial" w:hAnsi="Arial" w:cs="Arial"/>
          <w:b/>
          <w:sz w:val="20"/>
          <w:szCs w:val="20"/>
        </w:rPr>
        <w:t xml:space="preserve"> </w:t>
      </w:r>
      <w:r w:rsidR="006446D6" w:rsidRPr="002A00AA">
        <w:rPr>
          <w:rFonts w:ascii="Arial" w:hAnsi="Arial" w:cs="Arial"/>
          <w:b/>
          <w:sz w:val="20"/>
          <w:szCs w:val="20"/>
        </w:rPr>
        <w:t>repository</w:t>
      </w:r>
    </w:p>
    <w:p w14:paraId="577365E2" w14:textId="1B795CD6" w:rsidR="006446D6" w:rsidRPr="006446D6" w:rsidRDefault="006446D6" w:rsidP="00FE00F4">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t>essere repository-based, ovvero utilizzare un repository condiviso e centralizzato per tutte le informazioni dell’Enterprise Architecture;</w:t>
      </w:r>
    </w:p>
    <w:p w14:paraId="01188305" w14:textId="19EB41A1" w:rsidR="006446D6" w:rsidRPr="006446D6" w:rsidRDefault="006446D6" w:rsidP="00FE00F4">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t>includere funzionalità di modellazione su tutte le viste architetturali, ovvero supportare la costruzione di qualsiasi elemento rilevante per l’organizzazione: Processi, Servizi, Organizzazione, Rischi, Applicazioni, Tecnologie, Dati;</w:t>
      </w:r>
    </w:p>
    <w:p w14:paraId="24670A38" w14:textId="714186B1" w:rsidR="006446D6" w:rsidRPr="006446D6" w:rsidRDefault="006446D6" w:rsidP="00FE00F4">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lastRenderedPageBreak/>
        <w:t>garantire la massima flessibilità e configurabilità del modello dati, in termini di classi, attributi, relazioni, molteplicità e semantica di queste, tramite l’utilizzo di operazioni end-user e nessuna scrittura di codice;</w:t>
      </w:r>
    </w:p>
    <w:p w14:paraId="1FFFD10D" w14:textId="15679D98" w:rsidR="006446D6" w:rsidRPr="006446D6" w:rsidRDefault="0070664E" w:rsidP="00FE00F4">
      <w:pPr>
        <w:numPr>
          <w:ilvl w:val="0"/>
          <w:numId w:val="15"/>
        </w:numPr>
        <w:tabs>
          <w:tab w:val="clear" w:pos="360"/>
        </w:tabs>
        <w:spacing w:line="276" w:lineRule="auto"/>
        <w:ind w:left="709" w:hanging="425"/>
        <w:jc w:val="both"/>
        <w:rPr>
          <w:rFonts w:ascii="Arial" w:hAnsi="Arial" w:cs="Arial"/>
          <w:sz w:val="20"/>
          <w:szCs w:val="20"/>
        </w:rPr>
      </w:pPr>
      <w:r w:rsidRPr="00C505D6">
        <w:rPr>
          <w:rFonts w:ascii="Arial" w:hAnsi="Arial" w:cs="Arial"/>
          <w:sz w:val="20"/>
          <w:szCs w:val="20"/>
        </w:rPr>
        <w:t>deve</w:t>
      </w:r>
      <w:r w:rsidRPr="006446D6">
        <w:rPr>
          <w:rFonts w:ascii="Arial" w:hAnsi="Arial" w:cs="Arial"/>
          <w:sz w:val="20"/>
          <w:szCs w:val="20"/>
        </w:rPr>
        <w:t xml:space="preserve"> </w:t>
      </w:r>
      <w:r w:rsidR="006446D6" w:rsidRPr="006446D6">
        <w:rPr>
          <w:rFonts w:ascii="Arial" w:hAnsi="Arial" w:cs="Arial"/>
          <w:sz w:val="20"/>
          <w:szCs w:val="20"/>
        </w:rPr>
        <w:t>supportare l’adozione dei principali standard, framework e best practice per l’EA, rendendo possibili e gestibili le personalizzazioni del modello informativo e del tailoring da effettuare sulla base delle esigenze degli utenti</w:t>
      </w:r>
      <w:r w:rsidR="00786A9E">
        <w:rPr>
          <w:rFonts w:ascii="Arial" w:hAnsi="Arial" w:cs="Arial"/>
          <w:sz w:val="20"/>
          <w:szCs w:val="20"/>
        </w:rPr>
        <w:t>.</w:t>
      </w:r>
    </w:p>
    <w:p w14:paraId="3403A25F" w14:textId="10E8C48E" w:rsidR="006446D6" w:rsidRPr="002A00AA" w:rsidRDefault="0084340E" w:rsidP="002A00AA">
      <w:pPr>
        <w:tabs>
          <w:tab w:val="left" w:pos="648"/>
        </w:tabs>
        <w:spacing w:line="276" w:lineRule="auto"/>
        <w:jc w:val="both"/>
        <w:rPr>
          <w:rFonts w:ascii="Arial" w:hAnsi="Arial" w:cs="Arial"/>
          <w:b/>
          <w:sz w:val="20"/>
          <w:szCs w:val="20"/>
        </w:rPr>
      </w:pPr>
      <w:r w:rsidRPr="0084340E">
        <w:rPr>
          <w:rFonts w:ascii="Arial" w:hAnsi="Arial" w:cs="Arial"/>
          <w:b/>
          <w:sz w:val="20"/>
          <w:szCs w:val="20"/>
        </w:rPr>
        <w:t>-</w:t>
      </w:r>
      <w:r>
        <w:rPr>
          <w:rFonts w:ascii="Arial" w:hAnsi="Arial" w:cs="Arial"/>
          <w:b/>
          <w:sz w:val="20"/>
          <w:szCs w:val="20"/>
        </w:rPr>
        <w:t xml:space="preserve"> </w:t>
      </w:r>
      <w:r w:rsidR="006446D6" w:rsidRPr="002A00AA">
        <w:rPr>
          <w:rFonts w:ascii="Arial" w:hAnsi="Arial" w:cs="Arial"/>
          <w:b/>
          <w:sz w:val="20"/>
          <w:szCs w:val="20"/>
        </w:rPr>
        <w:t>politica degli accessi e profilazione utenti</w:t>
      </w:r>
    </w:p>
    <w:p w14:paraId="0A78F304" w14:textId="19A98E1A" w:rsidR="006446D6" w:rsidRPr="006446D6" w:rsidRDefault="006446D6" w:rsidP="0070664E">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t>essere configurabile per differenti tipologie di utenti e ambienti, supportando la definizione di diverse viste di presentazione e percorsi di navigazione delle informazioni, a secondo della specifica profilazione;</w:t>
      </w:r>
    </w:p>
    <w:p w14:paraId="5D0F89C6" w14:textId="0A291B48" w:rsidR="006446D6" w:rsidRPr="006446D6"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t xml:space="preserve">la soluzione </w:t>
      </w:r>
      <w:r w:rsidRPr="00C505D6">
        <w:rPr>
          <w:rFonts w:ascii="Arial" w:hAnsi="Arial" w:cs="Arial"/>
          <w:sz w:val="20"/>
          <w:szCs w:val="20"/>
        </w:rPr>
        <w:t>deve</w:t>
      </w:r>
      <w:r w:rsidRPr="006446D6">
        <w:rPr>
          <w:rFonts w:ascii="Arial" w:hAnsi="Arial" w:cs="Arial"/>
          <w:sz w:val="20"/>
          <w:szCs w:val="20"/>
        </w:rPr>
        <w:t xml:space="preserve"> </w:t>
      </w:r>
      <w:r w:rsidR="006446D6" w:rsidRPr="006446D6">
        <w:rPr>
          <w:rFonts w:ascii="Arial" w:hAnsi="Arial" w:cs="Arial"/>
          <w:sz w:val="20"/>
          <w:szCs w:val="20"/>
        </w:rPr>
        <w:t>includere funzionalità di amministrazione centralizzata degli accessi e sicurezza, che consentano in particolare la definizione di differenti ruoli e la gestione dei relativi permessi in visualizzazione e modifica ai dati;</w:t>
      </w:r>
    </w:p>
    <w:p w14:paraId="382564A8" w14:textId="6B6E5C34" w:rsidR="006446D6" w:rsidRPr="006446D6" w:rsidRDefault="006446D6" w:rsidP="0070664E">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t>garantire la gestione dell’autenticazione/autorizzazione del parco utenti tramite integrazione nativa di strumenti LDAP come Active Directory, o altre piattaforme per la gestione centralizzata della sicurezza, con l’utilizzo di protocolli standard;</w:t>
      </w:r>
    </w:p>
    <w:p w14:paraId="0D935C99" w14:textId="67EF2ED5" w:rsidR="006446D6" w:rsidRPr="006446D6"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t xml:space="preserve">la soluzione </w:t>
      </w:r>
      <w:r w:rsidRPr="00C505D6">
        <w:rPr>
          <w:rFonts w:ascii="Arial" w:hAnsi="Arial" w:cs="Arial"/>
          <w:sz w:val="20"/>
          <w:szCs w:val="20"/>
        </w:rPr>
        <w:t>deve</w:t>
      </w:r>
      <w:r w:rsidRPr="006446D6">
        <w:rPr>
          <w:rFonts w:ascii="Arial" w:hAnsi="Arial" w:cs="Arial"/>
          <w:sz w:val="20"/>
          <w:szCs w:val="20"/>
        </w:rPr>
        <w:t xml:space="preserve"> </w:t>
      </w:r>
      <w:r w:rsidR="006446D6" w:rsidRPr="006446D6">
        <w:rPr>
          <w:rFonts w:ascii="Arial" w:hAnsi="Arial" w:cs="Arial"/>
          <w:sz w:val="20"/>
          <w:szCs w:val="20"/>
        </w:rPr>
        <w:t>gestire diverse tipologie di utenti per lo sviluppo della soluzione, sia per ciò che concerne le esigenze di integrazione che per la modellazione dei diversi componenti;</w:t>
      </w:r>
    </w:p>
    <w:p w14:paraId="69540BB5" w14:textId="03D43898" w:rsidR="006446D6" w:rsidRPr="006446D6" w:rsidRDefault="006446D6" w:rsidP="0070664E">
      <w:pPr>
        <w:numPr>
          <w:ilvl w:val="0"/>
          <w:numId w:val="15"/>
        </w:numPr>
        <w:tabs>
          <w:tab w:val="clear" w:pos="360"/>
        </w:tabs>
        <w:spacing w:line="276" w:lineRule="auto"/>
        <w:ind w:left="709" w:hanging="425"/>
        <w:jc w:val="both"/>
        <w:rPr>
          <w:rFonts w:ascii="Arial" w:hAnsi="Arial" w:cs="Arial"/>
          <w:sz w:val="20"/>
          <w:szCs w:val="20"/>
        </w:rPr>
      </w:pPr>
      <w:r w:rsidRPr="006446D6">
        <w:rPr>
          <w:rFonts w:ascii="Arial" w:hAnsi="Arial" w:cs="Arial"/>
          <w:sz w:val="20"/>
          <w:szCs w:val="20"/>
        </w:rPr>
        <w:t>offrire la possibilità di gestire utenti “web” di base (solo lettura) in numero illimitato;</w:t>
      </w:r>
    </w:p>
    <w:p w14:paraId="7E94C984" w14:textId="38FC3A3C" w:rsidR="0070664E" w:rsidRPr="0070664E"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C505D6">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2A0AE235" wp14:editId="5D62F920">
                <wp:simplePos x="0" y="0"/>
                <wp:positionH relativeFrom="page">
                  <wp:posOffset>1064895</wp:posOffset>
                </wp:positionH>
                <wp:positionV relativeFrom="page">
                  <wp:posOffset>880745</wp:posOffset>
                </wp:positionV>
                <wp:extent cx="5507355" cy="0"/>
                <wp:effectExtent l="7620" t="13970" r="9525" b="5080"/>
                <wp:wrapNone/>
                <wp:docPr id="543746290"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355" cy="0"/>
                        </a:xfrm>
                        <a:prstGeom prst="line">
                          <a:avLst/>
                        </a:prstGeom>
                        <a:noFill/>
                        <a:ln w="8890">
                          <a:solidFill>
                            <a:srgbClr val="747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6BB2E" id="Connettore diritto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85pt,69.35pt" to="517.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pBvgEAAGEDAAAOAAAAZHJzL2Uyb0RvYy54bWysU8tu2zAQvBfIPxC8x5LTuHYEyznYSS9p&#10;ayDpB6xJSiJKcQkubcl/X5J+NGhvRS7Ech/D2dnl8nHsDTsoTxptzaeTkjNlBUpt25r/fHu+XXBG&#10;AawEg1bV/KiIP65uPi0HV6k77NBI5VkEsVQNruZdCK4qChKd6oEm6JSNwQZ9DyFefVtID0NE701x&#10;V5ZfigG9dB6FIorezSnIVxm/aZQIP5qGVGCm5pFbyKfP5y6dxWoJVevBdVqcacB/sOhB2/joFWoD&#10;Adje63+gei08EjZhIrAvsGm0ULmH2M20/Kub1w6cyr1EcchdZaKPgxXfD2u79Ym6GO2re0Hxi5jF&#10;dQe2VZnA29HFwU2TVMXgqLqWpAu5rWe74RvKmAP7gFmFsfF9goz9sTGLfbyKrcbARHTOZuX882zG&#10;mbjECqguhc5T+KqwZ8moudE26QAVHF4oJCJQXVKS2+KzNibP0lg21HyxeChzAaHRMgVTGvl2tzae&#10;HSBuw/x+vpivc1cx8j4tIW+AulNeDp32xOPeyvxKp0A+ne0A2pzsyMrYs0pJmLSFVO1QHrf+ol6c&#10;Y6Z/3rm0KO/vufrPz1j9BgAA//8DAFBLAwQUAAYACAAAACEAJOkzYN4AAAAMAQAADwAAAGRycy9k&#10;b3ducmV2LnhtbExPQU7DMBC8I/EHa5G4IOpAIa3SOFWFBBIHCrR9gBtvE0O8Drbbht+zlZDgNrMz&#10;mp0p54PrxAFDtJ4U3IwyEEi1N5YaBZv14/UUREyajO48oYJvjDCvzs9KXRh/pHc8rFIjOIRioRW0&#10;KfWFlLFu0ek48j0SazsfnE5MQyNN0EcOd528zbJcOm2JP7S6x4cW68/V3im4e3o2y49+mXZhcWXf&#10;Xm3+YjZfSl1eDIsZiIRD+jPDqT5Xh4o7bf2eTBQd83wyYSuD8ZTByZGN73ne9vckq1L+H1H9AAAA&#10;//8DAFBLAQItABQABgAIAAAAIQC2gziS/gAAAOEBAAATAAAAAAAAAAAAAAAAAAAAAABbQ29udGVu&#10;dF9UeXBlc10ueG1sUEsBAi0AFAAGAAgAAAAhADj9If/WAAAAlAEAAAsAAAAAAAAAAAAAAAAALwEA&#10;AF9yZWxzLy5yZWxzUEsBAi0AFAAGAAgAAAAhAJy7ikG+AQAAYQMAAA4AAAAAAAAAAAAAAAAALgIA&#10;AGRycy9lMm9Eb2MueG1sUEsBAi0AFAAGAAgAAAAhACTpM2DeAAAADAEAAA8AAAAAAAAAAAAAAAAA&#10;GAQAAGRycy9kb3ducmV2LnhtbFBLBQYAAAAABAAEAPMAAAAjBQAAAAA=&#10;" strokecolor="#74787c" strokeweight=".7pt">
                <w10:wrap anchorx="page" anchory="page"/>
              </v:line>
            </w:pict>
          </mc:Fallback>
        </mc:AlternateContent>
      </w:r>
      <w:r w:rsidRPr="0070664E">
        <w:rPr>
          <w:rFonts w:ascii="Arial" w:hAnsi="Arial" w:cs="Arial"/>
          <w:sz w:val="20"/>
          <w:szCs w:val="20"/>
        </w:rPr>
        <w:t>supportare la definizione di profili d’utenza distinti per l’ambito ed il perimetro di visibilità sulle informazioni dell’EA e che siano autorizzati a compiere solo le azioni pertinenti alle proprie funzioni; tutti i profili “specializzati” dovranno essere costruiti aggiungendo funzioni e privilegi ad un profilo “utente base”.</w:t>
      </w:r>
    </w:p>
    <w:p w14:paraId="2D03CAFC" w14:textId="431587AB" w:rsidR="0070664E" w:rsidRPr="002A00AA" w:rsidRDefault="0084340E" w:rsidP="002A00AA">
      <w:pPr>
        <w:tabs>
          <w:tab w:val="left" w:pos="648"/>
        </w:tabs>
        <w:spacing w:line="276" w:lineRule="auto"/>
        <w:jc w:val="both"/>
        <w:rPr>
          <w:rFonts w:ascii="Arial" w:hAnsi="Arial" w:cs="Arial"/>
          <w:b/>
          <w:sz w:val="20"/>
          <w:szCs w:val="20"/>
        </w:rPr>
      </w:pPr>
      <w:r w:rsidRPr="0084340E">
        <w:rPr>
          <w:rFonts w:ascii="Arial" w:hAnsi="Arial" w:cs="Arial"/>
          <w:b/>
          <w:sz w:val="20"/>
          <w:szCs w:val="20"/>
        </w:rPr>
        <w:t>-</w:t>
      </w:r>
      <w:r>
        <w:rPr>
          <w:rFonts w:ascii="Arial" w:hAnsi="Arial" w:cs="Arial"/>
          <w:b/>
          <w:sz w:val="20"/>
          <w:szCs w:val="20"/>
        </w:rPr>
        <w:t xml:space="preserve"> s</w:t>
      </w:r>
      <w:r w:rsidR="0070664E" w:rsidRPr="002A00AA">
        <w:rPr>
          <w:rFonts w:ascii="Arial" w:hAnsi="Arial" w:cs="Arial"/>
          <w:b/>
          <w:sz w:val="20"/>
          <w:szCs w:val="20"/>
        </w:rPr>
        <w:t>viluppo collaborativo</w:t>
      </w:r>
    </w:p>
    <w:p w14:paraId="058EED1B" w14:textId="77777777" w:rsidR="0070664E" w:rsidRPr="0070664E"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70664E">
        <w:rPr>
          <w:rFonts w:ascii="Arial" w:hAnsi="Arial" w:cs="Arial"/>
          <w:sz w:val="20"/>
          <w:szCs w:val="20"/>
        </w:rPr>
        <w:t>consentire un approccio ed una modellazione collaborativa tra gli utenti tra gli utenti coinvolti, tramite l’utilizzo di meccanismi di editing multiutente e funzioni di socializzazione e condivisione di informazioni e viste</w:t>
      </w:r>
    </w:p>
    <w:p w14:paraId="572AEA31" w14:textId="77777777" w:rsidR="0070664E" w:rsidRPr="0070664E"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70664E">
        <w:rPr>
          <w:rFonts w:ascii="Arial" w:hAnsi="Arial" w:cs="Arial"/>
          <w:sz w:val="20"/>
          <w:szCs w:val="20"/>
        </w:rPr>
        <w:t>favorire la formazione di community collaborative sulle informazioni analitiche e visuali dell’EA, coniugando le classiche funzioni di Business Intelligence con funzioni social, ed in particolare abilitando la condivisione, revisione, la valutazione (rating), la sottoscrizione delle variazioni e le comunicazioni tra utenti con commenti e notifiche, oltre alla impostazione di preferiti per ogni singolo utente;</w:t>
      </w:r>
    </w:p>
    <w:p w14:paraId="24673B49" w14:textId="77777777" w:rsidR="0070664E" w:rsidRPr="0070664E"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70664E">
        <w:rPr>
          <w:rFonts w:ascii="Arial" w:hAnsi="Arial" w:cs="Arial"/>
          <w:sz w:val="20"/>
          <w:szCs w:val="20"/>
        </w:rPr>
        <w:t>gestire l’intero ciclo di vita delle informazioni del modello garantendone l’integrità ed il controllo delle modifiche consentendo di abilitare workflow autorizzativi e di validazione delle change;</w:t>
      </w:r>
    </w:p>
    <w:p w14:paraId="275A1F10" w14:textId="77777777" w:rsidR="0070664E" w:rsidRPr="0070664E"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70664E">
        <w:rPr>
          <w:rFonts w:ascii="Arial" w:hAnsi="Arial" w:cs="Arial"/>
          <w:sz w:val="20"/>
          <w:szCs w:val="20"/>
        </w:rPr>
        <w:t>abilitare tutte le funzionalità attraverso una soluzione web based, fruibile anche attraverso dispositivi mobili, per la modellazione, diagrammazione, fruizione e gestione delle informazioni con misurabili caratteristiche di usabilità e intuitività di utilizzo;</w:t>
      </w:r>
    </w:p>
    <w:p w14:paraId="47665D7D" w14:textId="77777777" w:rsidR="0070664E" w:rsidRPr="0070664E" w:rsidRDefault="0070664E" w:rsidP="0070664E">
      <w:pPr>
        <w:numPr>
          <w:ilvl w:val="0"/>
          <w:numId w:val="15"/>
        </w:numPr>
        <w:tabs>
          <w:tab w:val="clear" w:pos="360"/>
        </w:tabs>
        <w:spacing w:line="276" w:lineRule="auto"/>
        <w:ind w:left="709" w:hanging="425"/>
        <w:jc w:val="both"/>
        <w:rPr>
          <w:rFonts w:ascii="Arial" w:hAnsi="Arial" w:cs="Arial"/>
          <w:sz w:val="20"/>
          <w:szCs w:val="20"/>
        </w:rPr>
      </w:pPr>
      <w:r w:rsidRPr="0070664E">
        <w:rPr>
          <w:rFonts w:ascii="Arial" w:hAnsi="Arial" w:cs="Arial"/>
          <w:sz w:val="20"/>
          <w:szCs w:val="20"/>
        </w:rPr>
        <w:t>avere funzionalità di controllo e validazione delle variazioni per assicurare che i modelli siano sviluppati correttamente, attivabili anche in maniera selettiva, su aree specifiche del modello o singoli elementi. Si richiede in particolare la possibilità di configurare, assegnare, seguire e notificare task per workflow di tipo approvativo, di revisione e di validazione delle modifiche applicate alle informazioni, con opzioni di delega ed escalation.</w:t>
      </w:r>
    </w:p>
    <w:p w14:paraId="3D1D527C" w14:textId="2C027CDA" w:rsidR="0070664E" w:rsidRPr="002A00AA" w:rsidRDefault="00786A9E" w:rsidP="002A00AA">
      <w:pPr>
        <w:tabs>
          <w:tab w:val="left" w:pos="648"/>
        </w:tabs>
        <w:spacing w:line="276" w:lineRule="auto"/>
        <w:jc w:val="both"/>
        <w:rPr>
          <w:rFonts w:ascii="Arial" w:hAnsi="Arial" w:cs="Arial"/>
          <w:b/>
          <w:sz w:val="20"/>
          <w:szCs w:val="20"/>
        </w:rPr>
      </w:pPr>
      <w:r w:rsidRPr="00786A9E">
        <w:rPr>
          <w:rFonts w:ascii="Arial" w:hAnsi="Arial" w:cs="Arial"/>
          <w:b/>
          <w:sz w:val="20"/>
          <w:szCs w:val="20"/>
        </w:rPr>
        <w:t>-</w:t>
      </w:r>
      <w:r>
        <w:rPr>
          <w:rFonts w:ascii="Arial" w:hAnsi="Arial" w:cs="Arial"/>
          <w:b/>
          <w:sz w:val="20"/>
          <w:szCs w:val="20"/>
        </w:rPr>
        <w:t xml:space="preserve"> i</w:t>
      </w:r>
      <w:r w:rsidR="0070664E" w:rsidRPr="002A00AA">
        <w:rPr>
          <w:rFonts w:ascii="Arial" w:hAnsi="Arial" w:cs="Arial"/>
          <w:b/>
          <w:sz w:val="20"/>
          <w:szCs w:val="20"/>
        </w:rPr>
        <w:t>nterfaccia grafica</w:t>
      </w:r>
    </w:p>
    <w:p w14:paraId="28F2433A" w14:textId="77777777" w:rsidR="0070664E" w:rsidRPr="0070664E" w:rsidRDefault="0070664E" w:rsidP="0084619C">
      <w:pPr>
        <w:numPr>
          <w:ilvl w:val="0"/>
          <w:numId w:val="15"/>
        </w:numPr>
        <w:tabs>
          <w:tab w:val="clear" w:pos="360"/>
        </w:tabs>
        <w:spacing w:line="276" w:lineRule="auto"/>
        <w:ind w:left="709" w:hanging="425"/>
        <w:jc w:val="both"/>
        <w:rPr>
          <w:rFonts w:ascii="Arial" w:hAnsi="Arial" w:cs="Arial"/>
          <w:sz w:val="20"/>
          <w:szCs w:val="20"/>
        </w:rPr>
      </w:pPr>
      <w:r w:rsidRPr="0070664E">
        <w:rPr>
          <w:rFonts w:ascii="Arial" w:hAnsi="Arial" w:cs="Arial"/>
          <w:sz w:val="20"/>
          <w:szCs w:val="20"/>
        </w:rPr>
        <w:lastRenderedPageBreak/>
        <w:t>fornire funzionalità architetturali, di disegno di business e di analisi di impatto a supporto delle decisioni, attraverso strumenti di analisi grafica dei dati contenuti nel repository;</w:t>
      </w:r>
    </w:p>
    <w:p w14:paraId="7109DC49" w14:textId="77777777" w:rsidR="0070664E" w:rsidRPr="0070664E" w:rsidRDefault="0070664E" w:rsidP="0084619C">
      <w:pPr>
        <w:numPr>
          <w:ilvl w:val="0"/>
          <w:numId w:val="15"/>
        </w:numPr>
        <w:tabs>
          <w:tab w:val="clear" w:pos="360"/>
        </w:tabs>
        <w:spacing w:line="276" w:lineRule="auto"/>
        <w:ind w:left="709" w:hanging="425"/>
        <w:jc w:val="both"/>
        <w:rPr>
          <w:rFonts w:ascii="Arial" w:hAnsi="Arial" w:cs="Arial"/>
          <w:sz w:val="20"/>
          <w:szCs w:val="20"/>
        </w:rPr>
      </w:pPr>
      <w:r w:rsidRPr="0070664E">
        <w:rPr>
          <w:rFonts w:ascii="Arial" w:hAnsi="Arial" w:cs="Arial"/>
          <w:sz w:val="20"/>
          <w:szCs w:val="20"/>
        </w:rPr>
        <w:t>garantire la possibilità di realizzare template grafici per la modellazione visuale – diagrammatica e manuale/automatica – di qualunque notazione standard (ArchiMate, BPMN) o custom, adattandola ai requisiti degli utenti dello specifico modello EA;</w:t>
      </w:r>
    </w:p>
    <w:p w14:paraId="2254E305" w14:textId="04ECA193" w:rsidR="0070664E" w:rsidRPr="0070664E" w:rsidRDefault="0084619C" w:rsidP="0084619C">
      <w:pPr>
        <w:numPr>
          <w:ilvl w:val="0"/>
          <w:numId w:val="15"/>
        </w:numPr>
        <w:tabs>
          <w:tab w:val="clear" w:pos="360"/>
        </w:tabs>
        <w:spacing w:line="276" w:lineRule="auto"/>
        <w:ind w:left="709" w:hanging="425"/>
        <w:jc w:val="both"/>
        <w:rPr>
          <w:rFonts w:ascii="Arial" w:hAnsi="Arial" w:cs="Arial"/>
          <w:sz w:val="20"/>
          <w:szCs w:val="20"/>
        </w:rPr>
      </w:pPr>
      <w:r w:rsidRPr="00C505D6">
        <w:rPr>
          <w:rFonts w:ascii="Arial" w:hAnsi="Arial" w:cs="Arial"/>
          <w:sz w:val="20"/>
          <w:szCs w:val="20"/>
        </w:rPr>
        <w:t xml:space="preserve">offire la </w:t>
      </w:r>
      <w:r w:rsidR="0070664E" w:rsidRPr="0070664E">
        <w:rPr>
          <w:rFonts w:ascii="Arial" w:hAnsi="Arial" w:cs="Arial"/>
          <w:sz w:val="20"/>
          <w:szCs w:val="20"/>
        </w:rPr>
        <w:t>possibilità di integrare i diagrammi manuali con grafici automatici che utilizzano i dati nel repository EA, come torte, istogrammi, bubble chart, timeline, GANTT, tabelle pivot, e grafi a rete (network), in modo da abilitare la costruzione di cruscotti di monitoraggio e governance delle informazioni;</w:t>
      </w:r>
    </w:p>
    <w:p w14:paraId="51DC304B" w14:textId="767C790E" w:rsidR="0084619C" w:rsidRPr="0084619C" w:rsidRDefault="0084619C" w:rsidP="0084619C">
      <w:pPr>
        <w:numPr>
          <w:ilvl w:val="0"/>
          <w:numId w:val="15"/>
        </w:numPr>
        <w:tabs>
          <w:tab w:val="clear" w:pos="360"/>
        </w:tabs>
        <w:spacing w:line="276" w:lineRule="auto"/>
        <w:ind w:left="709" w:hanging="425"/>
        <w:jc w:val="both"/>
        <w:rPr>
          <w:rFonts w:ascii="Arial" w:hAnsi="Arial" w:cs="Arial"/>
          <w:sz w:val="20"/>
          <w:szCs w:val="20"/>
        </w:rPr>
      </w:pPr>
      <w:r w:rsidRPr="00C505D6">
        <w:rPr>
          <w:rFonts w:ascii="Arial" w:hAnsi="Arial" w:cs="Arial"/>
          <w:noProof/>
          <w:sz w:val="20"/>
          <w:szCs w:val="20"/>
          <w:lang w:val="en-US"/>
        </w:rPr>
        <mc:AlternateContent>
          <mc:Choice Requires="wps">
            <w:drawing>
              <wp:anchor distT="0" distB="0" distL="114300" distR="114300" simplePos="0" relativeHeight="251663360" behindDoc="0" locked="0" layoutInCell="1" allowOverlap="1" wp14:anchorId="230D5756" wp14:editId="207087DB">
                <wp:simplePos x="0" y="0"/>
                <wp:positionH relativeFrom="page">
                  <wp:posOffset>1064895</wp:posOffset>
                </wp:positionH>
                <wp:positionV relativeFrom="page">
                  <wp:posOffset>880745</wp:posOffset>
                </wp:positionV>
                <wp:extent cx="5507355" cy="0"/>
                <wp:effectExtent l="7620" t="13970" r="9525" b="5080"/>
                <wp:wrapNone/>
                <wp:docPr id="2093694962"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355" cy="0"/>
                        </a:xfrm>
                        <a:prstGeom prst="line">
                          <a:avLst/>
                        </a:prstGeom>
                        <a:noFill/>
                        <a:ln w="8890">
                          <a:solidFill>
                            <a:srgbClr val="747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4C6C5" id="Connettore diritto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85pt,69.35pt" to="517.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pBvgEAAGEDAAAOAAAAZHJzL2Uyb0RvYy54bWysU8tu2zAQvBfIPxC8x5LTuHYEyznYSS9p&#10;ayDpB6xJSiJKcQkubcl/X5J+NGhvRS7Ech/D2dnl8nHsDTsoTxptzaeTkjNlBUpt25r/fHu+XXBG&#10;AawEg1bV/KiIP65uPi0HV6k77NBI5VkEsVQNruZdCK4qChKd6oEm6JSNwQZ9DyFefVtID0NE701x&#10;V5ZfigG9dB6FIorezSnIVxm/aZQIP5qGVGCm5pFbyKfP5y6dxWoJVevBdVqcacB/sOhB2/joFWoD&#10;Adje63+gei08EjZhIrAvsGm0ULmH2M20/Kub1w6cyr1EcchdZaKPgxXfD2u79Ym6GO2re0Hxi5jF&#10;dQe2VZnA29HFwU2TVMXgqLqWpAu5rWe74RvKmAP7gFmFsfF9goz9sTGLfbyKrcbARHTOZuX882zG&#10;mbjECqguhc5T+KqwZ8moudE26QAVHF4oJCJQXVKS2+KzNibP0lg21HyxeChzAaHRMgVTGvl2tzae&#10;HSBuw/x+vpivc1cx8j4tIW+AulNeDp32xOPeyvxKp0A+ne0A2pzsyMrYs0pJmLSFVO1QHrf+ol6c&#10;Y6Z/3rm0KO/vufrPz1j9BgAA//8DAFBLAwQUAAYACAAAACEAJOkzYN4AAAAMAQAADwAAAGRycy9k&#10;b3ducmV2LnhtbExPQU7DMBC8I/EHa5G4IOpAIa3SOFWFBBIHCrR9gBtvE0O8Drbbht+zlZDgNrMz&#10;mp0p54PrxAFDtJ4U3IwyEEi1N5YaBZv14/UUREyajO48oYJvjDCvzs9KXRh/pHc8rFIjOIRioRW0&#10;KfWFlLFu0ek48j0SazsfnE5MQyNN0EcOd528zbJcOm2JP7S6x4cW68/V3im4e3o2y49+mXZhcWXf&#10;Xm3+YjZfSl1eDIsZiIRD+jPDqT5Xh4o7bf2eTBQd83wyYSuD8ZTByZGN73ne9vckq1L+H1H9AAAA&#10;//8DAFBLAQItABQABgAIAAAAIQC2gziS/gAAAOEBAAATAAAAAAAAAAAAAAAAAAAAAABbQ29udGVu&#10;dF9UeXBlc10ueG1sUEsBAi0AFAAGAAgAAAAhADj9If/WAAAAlAEAAAsAAAAAAAAAAAAAAAAALwEA&#10;AF9yZWxzLy5yZWxzUEsBAi0AFAAGAAgAAAAhAJy7ikG+AQAAYQMAAA4AAAAAAAAAAAAAAAAALgIA&#10;AGRycy9lMm9Eb2MueG1sUEsBAi0AFAAGAAgAAAAhACTpM2DeAAAADAEAAA8AAAAAAAAAAAAAAAAA&#10;GAQAAGRycy9kb3ducmV2LnhtbFBLBQYAAAAABAAEAPMAAAAjBQAAAAA=&#10;" strokecolor="#74787c" strokeweight=".7pt">
                <w10:wrap anchorx="page" anchory="page"/>
              </v:line>
            </w:pict>
          </mc:Fallback>
        </mc:AlternateContent>
      </w:r>
      <w:r w:rsidRPr="0084619C">
        <w:rPr>
          <w:rFonts w:ascii="Arial" w:hAnsi="Arial" w:cs="Arial"/>
          <w:sz w:val="20"/>
          <w:szCs w:val="20"/>
        </w:rPr>
        <w:t>disaccoppiare la progettazione del modello dalla progettazione della user experience degli utenti web, attraverso strumenti dedicati al design del presentation layer, e l’utilizzo di layout predefiniti (tabelle, liste, link, catene associative dirette ed indirette, filtri complessi basati su valori fissi o parametrici di attributi e associazioni, sorting, etc) per la composizione delle pagine informative di dettaglio e delle dashboard di sintesi, eventualmente estendibili per adattarsi a nuovi requisiti o best practice aziendali</w:t>
      </w:r>
      <w:r w:rsidR="00723056">
        <w:rPr>
          <w:rFonts w:ascii="Arial" w:hAnsi="Arial" w:cs="Arial"/>
          <w:sz w:val="20"/>
          <w:szCs w:val="20"/>
        </w:rPr>
        <w:t>.</w:t>
      </w:r>
    </w:p>
    <w:p w14:paraId="073593FA" w14:textId="68DCE2E2" w:rsidR="0084619C" w:rsidRPr="002A00AA" w:rsidRDefault="00723056" w:rsidP="002A00AA">
      <w:pPr>
        <w:tabs>
          <w:tab w:val="left" w:pos="648"/>
        </w:tabs>
        <w:spacing w:line="276" w:lineRule="auto"/>
        <w:jc w:val="both"/>
        <w:rPr>
          <w:rFonts w:ascii="Arial" w:hAnsi="Arial" w:cs="Arial"/>
          <w:b/>
          <w:sz w:val="20"/>
          <w:szCs w:val="20"/>
        </w:rPr>
      </w:pPr>
      <w:r w:rsidRPr="00723056">
        <w:rPr>
          <w:rFonts w:ascii="Arial" w:hAnsi="Arial" w:cs="Arial"/>
          <w:b/>
          <w:sz w:val="20"/>
          <w:szCs w:val="20"/>
        </w:rPr>
        <w:t>-</w:t>
      </w:r>
      <w:r>
        <w:rPr>
          <w:rFonts w:ascii="Arial" w:hAnsi="Arial" w:cs="Arial"/>
          <w:b/>
          <w:sz w:val="20"/>
          <w:szCs w:val="20"/>
        </w:rPr>
        <w:t xml:space="preserve"> </w:t>
      </w:r>
      <w:r w:rsidR="0084619C" w:rsidRPr="002A00AA">
        <w:rPr>
          <w:rFonts w:ascii="Arial" w:hAnsi="Arial" w:cs="Arial"/>
          <w:b/>
          <w:sz w:val="20"/>
          <w:szCs w:val="20"/>
        </w:rPr>
        <w:t>produzione di processi di trasferimento e trasformazione dei dati</w:t>
      </w:r>
    </w:p>
    <w:p w14:paraId="2D7A926C" w14:textId="77777777" w:rsidR="0084619C" w:rsidRPr="0084619C" w:rsidRDefault="0084619C" w:rsidP="0084619C">
      <w:pPr>
        <w:numPr>
          <w:ilvl w:val="0"/>
          <w:numId w:val="15"/>
        </w:numPr>
        <w:tabs>
          <w:tab w:val="clear" w:pos="360"/>
        </w:tabs>
        <w:spacing w:line="276" w:lineRule="auto"/>
        <w:ind w:left="709" w:hanging="425"/>
        <w:jc w:val="both"/>
        <w:rPr>
          <w:rFonts w:ascii="Arial" w:hAnsi="Arial" w:cs="Arial"/>
          <w:sz w:val="20"/>
          <w:szCs w:val="20"/>
        </w:rPr>
      </w:pPr>
      <w:r w:rsidRPr="0084619C">
        <w:rPr>
          <w:rFonts w:ascii="Arial" w:hAnsi="Arial" w:cs="Arial"/>
          <w:sz w:val="20"/>
          <w:szCs w:val="20"/>
        </w:rPr>
        <w:t>garantire la disponibilità di interfacce pubbliche e avanzate (API SOAP/REST) per rendere la soluzione EA integrabile applicativamente con sistemi e piattaforme esterne e rendere possibile la costruzione di processi utente complessi1;</w:t>
      </w:r>
    </w:p>
    <w:p w14:paraId="52500057" w14:textId="77777777" w:rsidR="0084619C" w:rsidRPr="0084619C" w:rsidRDefault="0084619C" w:rsidP="0084619C">
      <w:pPr>
        <w:numPr>
          <w:ilvl w:val="0"/>
          <w:numId w:val="15"/>
        </w:numPr>
        <w:tabs>
          <w:tab w:val="clear" w:pos="360"/>
        </w:tabs>
        <w:spacing w:line="276" w:lineRule="auto"/>
        <w:ind w:left="709" w:hanging="425"/>
        <w:jc w:val="both"/>
        <w:rPr>
          <w:rFonts w:ascii="Arial" w:hAnsi="Arial" w:cs="Arial"/>
          <w:sz w:val="20"/>
          <w:szCs w:val="20"/>
        </w:rPr>
      </w:pPr>
      <w:r w:rsidRPr="0084619C">
        <w:rPr>
          <w:rFonts w:ascii="Arial" w:hAnsi="Arial" w:cs="Arial"/>
          <w:sz w:val="20"/>
          <w:szCs w:val="20"/>
        </w:rPr>
        <w:t>includere uno strumento per la costruzione di scambi informativi automatici e bidirezionali tra l’EA e strumenti terzi, ovvero processi ETL, dotati delle seguenti funzionalità e caratteristiche, necessarie a garantire la continuità delle attuali integrazioni già in essere:</w:t>
      </w:r>
    </w:p>
    <w:p w14:paraId="6229F1E7" w14:textId="77777777" w:rsidR="0084619C" w:rsidRPr="0084619C" w:rsidRDefault="0084619C" w:rsidP="0084619C">
      <w:pPr>
        <w:spacing w:line="276" w:lineRule="auto"/>
        <w:ind w:left="851" w:hanging="142"/>
        <w:jc w:val="both"/>
        <w:rPr>
          <w:rFonts w:ascii="Arial" w:hAnsi="Arial" w:cs="Arial"/>
          <w:sz w:val="20"/>
          <w:szCs w:val="20"/>
        </w:rPr>
      </w:pPr>
      <w:r w:rsidRPr="0084619C">
        <w:rPr>
          <w:rFonts w:ascii="Arial" w:hAnsi="Arial" w:cs="Arial"/>
          <w:sz w:val="20"/>
          <w:szCs w:val="20"/>
        </w:rPr>
        <w:t>- disponibilità librerie di trasformazione per manipolare e ristrutturare i dati raccolti, filtrarli e normalizzarli rendendoli completamente compatibili con il Repository centrale, assicurandone sempre l’integrità e la sicurezza</w:t>
      </w:r>
    </w:p>
    <w:p w14:paraId="7E32251F" w14:textId="77777777" w:rsidR="0084619C" w:rsidRPr="0084619C" w:rsidRDefault="0084619C" w:rsidP="0084619C">
      <w:pPr>
        <w:spacing w:line="276" w:lineRule="auto"/>
        <w:ind w:left="851" w:hanging="142"/>
        <w:jc w:val="both"/>
        <w:rPr>
          <w:rFonts w:ascii="Arial" w:hAnsi="Arial" w:cs="Arial"/>
          <w:sz w:val="20"/>
          <w:szCs w:val="20"/>
        </w:rPr>
      </w:pPr>
      <w:r w:rsidRPr="0084619C">
        <w:rPr>
          <w:rFonts w:ascii="Arial" w:hAnsi="Arial" w:cs="Arial"/>
          <w:sz w:val="20"/>
          <w:szCs w:val="20"/>
        </w:rPr>
        <w:t>-</w:t>
      </w:r>
      <w:r w:rsidRPr="0084619C">
        <w:rPr>
          <w:rFonts w:ascii="Arial" w:hAnsi="Arial" w:cs="Arial"/>
          <w:sz w:val="20"/>
          <w:szCs w:val="20"/>
        </w:rPr>
        <w:tab/>
        <w:t>possibilità di creare sequenze di operazioni, come ad esempio export e import di dati da sistemi esterni e dallo stesso repository EA, rendendo tali task schedulabili;</w:t>
      </w:r>
    </w:p>
    <w:p w14:paraId="462E341C" w14:textId="5E075CC5" w:rsidR="0084619C" w:rsidRPr="0084619C" w:rsidRDefault="0084619C" w:rsidP="0084619C">
      <w:pPr>
        <w:spacing w:line="276" w:lineRule="auto"/>
        <w:ind w:left="851" w:hanging="142"/>
        <w:jc w:val="both"/>
        <w:rPr>
          <w:rFonts w:ascii="Arial" w:hAnsi="Arial" w:cs="Arial"/>
          <w:sz w:val="20"/>
          <w:szCs w:val="20"/>
        </w:rPr>
      </w:pPr>
      <w:r w:rsidRPr="0084619C">
        <w:rPr>
          <w:rFonts w:ascii="Arial" w:hAnsi="Arial" w:cs="Arial"/>
          <w:sz w:val="20"/>
          <w:szCs w:val="20"/>
        </w:rPr>
        <w:t>-</w:t>
      </w:r>
      <w:r w:rsidRPr="0084619C">
        <w:rPr>
          <w:rFonts w:ascii="Arial" w:hAnsi="Arial" w:cs="Arial"/>
          <w:sz w:val="20"/>
          <w:szCs w:val="20"/>
        </w:rPr>
        <w:tab/>
        <w:t>tracciatura completa delle operazioni, attraverso log dettagliati e notifiche email configurabili che distribuiscano i risultati e/o report</w:t>
      </w:r>
      <w:r w:rsidRPr="00C505D6">
        <w:rPr>
          <w:rFonts w:ascii="Arial" w:hAnsi="Arial" w:cs="Arial"/>
          <w:sz w:val="20"/>
          <w:szCs w:val="20"/>
        </w:rPr>
        <w:t xml:space="preserve"> </w:t>
      </w:r>
      <w:r w:rsidRPr="0084619C">
        <w:rPr>
          <w:rFonts w:ascii="Arial" w:hAnsi="Arial" w:cs="Arial"/>
          <w:sz w:val="20"/>
          <w:szCs w:val="20"/>
        </w:rPr>
        <w:t>relativi a specifici eventi o regole sui dati;</w:t>
      </w:r>
    </w:p>
    <w:p w14:paraId="7591FAB9" w14:textId="77777777" w:rsidR="0084619C" w:rsidRPr="0084619C" w:rsidRDefault="0084619C" w:rsidP="0084619C">
      <w:pPr>
        <w:spacing w:line="276" w:lineRule="auto"/>
        <w:ind w:left="851" w:hanging="142"/>
        <w:jc w:val="both"/>
        <w:rPr>
          <w:rFonts w:ascii="Arial" w:hAnsi="Arial" w:cs="Arial"/>
          <w:sz w:val="20"/>
          <w:szCs w:val="20"/>
        </w:rPr>
      </w:pPr>
      <w:r w:rsidRPr="0084619C">
        <w:rPr>
          <w:rFonts w:ascii="Arial" w:hAnsi="Arial" w:cs="Arial"/>
          <w:sz w:val="20"/>
          <w:szCs w:val="20"/>
        </w:rPr>
        <w:t>-</w:t>
      </w:r>
      <w:r w:rsidRPr="0084619C">
        <w:rPr>
          <w:rFonts w:ascii="Arial" w:hAnsi="Arial" w:cs="Arial"/>
          <w:sz w:val="20"/>
          <w:szCs w:val="20"/>
        </w:rPr>
        <w:tab/>
        <w:t>disponibilità di connettori per database relazionali (tra cui Oracle e MS SQL), file strutturati (csv, XML,MS Excel, MS Project), web service consumer (REST/SOAP), e sistemi commerciali come RSA Archer;</w:t>
      </w:r>
    </w:p>
    <w:p w14:paraId="7FFB989F" w14:textId="15C67E12" w:rsidR="0084619C" w:rsidRPr="0084619C" w:rsidRDefault="0084619C" w:rsidP="0084619C">
      <w:pPr>
        <w:spacing w:line="276" w:lineRule="auto"/>
        <w:ind w:left="851" w:hanging="142"/>
        <w:jc w:val="both"/>
        <w:rPr>
          <w:rFonts w:ascii="Arial" w:hAnsi="Arial" w:cs="Arial"/>
          <w:sz w:val="20"/>
          <w:szCs w:val="20"/>
        </w:rPr>
      </w:pPr>
      <w:r w:rsidRPr="00C505D6">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63FD1AD7" wp14:editId="635D850F">
                <wp:simplePos x="0" y="0"/>
                <wp:positionH relativeFrom="page">
                  <wp:posOffset>1064895</wp:posOffset>
                </wp:positionH>
                <wp:positionV relativeFrom="page">
                  <wp:posOffset>880745</wp:posOffset>
                </wp:positionV>
                <wp:extent cx="5507355" cy="0"/>
                <wp:effectExtent l="7620" t="13970" r="9525" b="5080"/>
                <wp:wrapNone/>
                <wp:docPr id="757961173"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355" cy="0"/>
                        </a:xfrm>
                        <a:prstGeom prst="line">
                          <a:avLst/>
                        </a:prstGeom>
                        <a:noFill/>
                        <a:ln w="8890">
                          <a:solidFill>
                            <a:srgbClr val="747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71813" id="Connettore diritto 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85pt,69.35pt" to="517.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pBvgEAAGEDAAAOAAAAZHJzL2Uyb0RvYy54bWysU8tu2zAQvBfIPxC8x5LTuHYEyznYSS9p&#10;ayDpB6xJSiJKcQkubcl/X5J+NGhvRS7Ech/D2dnl8nHsDTsoTxptzaeTkjNlBUpt25r/fHu+XXBG&#10;AawEg1bV/KiIP65uPi0HV6k77NBI5VkEsVQNruZdCK4qChKd6oEm6JSNwQZ9DyFefVtID0NE701x&#10;V5ZfigG9dB6FIorezSnIVxm/aZQIP5qGVGCm5pFbyKfP5y6dxWoJVevBdVqcacB/sOhB2/joFWoD&#10;Adje63+gei08EjZhIrAvsGm0ULmH2M20/Kub1w6cyr1EcchdZaKPgxXfD2u79Ym6GO2re0Hxi5jF&#10;dQe2VZnA29HFwU2TVMXgqLqWpAu5rWe74RvKmAP7gFmFsfF9goz9sTGLfbyKrcbARHTOZuX882zG&#10;mbjECqguhc5T+KqwZ8moudE26QAVHF4oJCJQXVKS2+KzNibP0lg21HyxeChzAaHRMgVTGvl2tzae&#10;HSBuw/x+vpivc1cx8j4tIW+AulNeDp32xOPeyvxKp0A+ne0A2pzsyMrYs0pJmLSFVO1QHrf+ol6c&#10;Y6Z/3rm0KO/vufrPz1j9BgAA//8DAFBLAwQUAAYACAAAACEAJOkzYN4AAAAMAQAADwAAAGRycy9k&#10;b3ducmV2LnhtbExPQU7DMBC8I/EHa5G4IOpAIa3SOFWFBBIHCrR9gBtvE0O8Drbbht+zlZDgNrMz&#10;mp0p54PrxAFDtJ4U3IwyEEi1N5YaBZv14/UUREyajO48oYJvjDCvzs9KXRh/pHc8rFIjOIRioRW0&#10;KfWFlLFu0ek48j0SazsfnE5MQyNN0EcOd528zbJcOm2JP7S6x4cW68/V3im4e3o2y49+mXZhcWXf&#10;Xm3+YjZfSl1eDIsZiIRD+jPDqT5Xh4o7bf2eTBQd83wyYSuD8ZTByZGN73ne9vckq1L+H1H9AAAA&#10;//8DAFBLAQItABQABgAIAAAAIQC2gziS/gAAAOEBAAATAAAAAAAAAAAAAAAAAAAAAABbQ29udGVu&#10;dF9UeXBlc10ueG1sUEsBAi0AFAAGAAgAAAAhADj9If/WAAAAlAEAAAsAAAAAAAAAAAAAAAAALwEA&#10;AF9yZWxzLy5yZWxzUEsBAi0AFAAGAAgAAAAhAJy7ikG+AQAAYQMAAA4AAAAAAAAAAAAAAAAALgIA&#10;AGRycy9lMm9Eb2MueG1sUEsBAi0AFAAGAAgAAAAhACTpM2DeAAAADAEAAA8AAAAAAAAAAAAAAAAA&#10;GAQAAGRycy9kb3ducmV2LnhtbFBLBQYAAAAABAAEAPMAAAAjBQAAAAA=&#10;" strokecolor="#74787c" strokeweight=".7pt">
                <w10:wrap anchorx="page" anchory="page"/>
              </v:line>
            </w:pict>
          </mc:Fallback>
        </mc:AlternateContent>
      </w:r>
      <w:r w:rsidRPr="0084619C">
        <w:rPr>
          <w:rFonts w:ascii="Arial" w:hAnsi="Arial" w:cs="Arial"/>
          <w:sz w:val="20"/>
          <w:szCs w:val="20"/>
        </w:rPr>
        <w:t>-</w:t>
      </w:r>
      <w:r w:rsidRPr="0084619C">
        <w:rPr>
          <w:rFonts w:ascii="Arial" w:hAnsi="Arial" w:cs="Arial"/>
          <w:sz w:val="20"/>
          <w:szCs w:val="20"/>
        </w:rPr>
        <w:tab/>
        <w:t>includere strumenti per il publishing dei contenuti in formato Office (Microsoft Word®) con cui creare guide per l’utente, manuali di processo, documentazione architetturale.</w:t>
      </w:r>
    </w:p>
    <w:p w14:paraId="77FC4072" w14:textId="203D0154" w:rsidR="0006460C" w:rsidRPr="0006460C" w:rsidRDefault="00723056" w:rsidP="002A00AA">
      <w:pPr>
        <w:tabs>
          <w:tab w:val="left" w:pos="360"/>
        </w:tabs>
        <w:spacing w:line="276" w:lineRule="auto"/>
        <w:jc w:val="both"/>
        <w:rPr>
          <w:rFonts w:ascii="Arial" w:hAnsi="Arial" w:cs="Arial"/>
          <w:b/>
          <w:sz w:val="20"/>
          <w:szCs w:val="20"/>
        </w:rPr>
      </w:pPr>
      <w:r>
        <w:rPr>
          <w:rFonts w:ascii="Arial" w:hAnsi="Arial" w:cs="Arial"/>
          <w:b/>
          <w:sz w:val="20"/>
          <w:szCs w:val="20"/>
        </w:rPr>
        <w:t>- i</w:t>
      </w:r>
      <w:r w:rsidR="0006460C" w:rsidRPr="0006460C">
        <w:rPr>
          <w:rFonts w:ascii="Arial" w:hAnsi="Arial" w:cs="Arial"/>
          <w:b/>
          <w:sz w:val="20"/>
          <w:szCs w:val="20"/>
        </w:rPr>
        <w:t>mportabilità</w:t>
      </w:r>
    </w:p>
    <w:p w14:paraId="23413CED" w14:textId="5F68B514" w:rsidR="0006460C" w:rsidRPr="0006460C" w:rsidRDefault="0006460C" w:rsidP="0006460C">
      <w:pPr>
        <w:numPr>
          <w:ilvl w:val="0"/>
          <w:numId w:val="15"/>
        </w:numPr>
        <w:tabs>
          <w:tab w:val="clear" w:pos="360"/>
        </w:tabs>
        <w:spacing w:line="276" w:lineRule="auto"/>
        <w:ind w:left="709" w:hanging="425"/>
        <w:jc w:val="both"/>
        <w:rPr>
          <w:rFonts w:ascii="Arial" w:hAnsi="Arial" w:cs="Arial"/>
          <w:sz w:val="20"/>
          <w:szCs w:val="20"/>
        </w:rPr>
      </w:pPr>
      <w:r w:rsidRPr="0006460C">
        <w:rPr>
          <w:rFonts w:ascii="Arial" w:hAnsi="Arial" w:cs="Arial"/>
          <w:sz w:val="20"/>
          <w:szCs w:val="20"/>
        </w:rPr>
        <w:t>consentire l’importazione di dati derivanti da una fonte pregressa o organizzativa non informatizzata, tramite funzioni di import massivo di file csv, XML, Office Automation come Microsoft® Word®, Excel®, Visio® e MS Project®</w:t>
      </w:r>
      <w:r w:rsidR="00723056">
        <w:rPr>
          <w:rFonts w:ascii="Arial" w:hAnsi="Arial" w:cs="Arial"/>
          <w:sz w:val="20"/>
          <w:szCs w:val="20"/>
        </w:rPr>
        <w:t>.</w:t>
      </w:r>
    </w:p>
    <w:p w14:paraId="18CB23CC" w14:textId="4EF797A2" w:rsidR="0006460C" w:rsidRPr="0006460C" w:rsidRDefault="00723056" w:rsidP="002A00AA">
      <w:pPr>
        <w:tabs>
          <w:tab w:val="left" w:pos="360"/>
        </w:tabs>
        <w:spacing w:line="276" w:lineRule="auto"/>
        <w:jc w:val="both"/>
        <w:rPr>
          <w:rFonts w:ascii="Arial" w:hAnsi="Arial" w:cs="Arial"/>
          <w:b/>
          <w:sz w:val="20"/>
          <w:szCs w:val="20"/>
        </w:rPr>
      </w:pPr>
      <w:r>
        <w:rPr>
          <w:rFonts w:ascii="Arial" w:hAnsi="Arial" w:cs="Arial"/>
          <w:b/>
          <w:sz w:val="20"/>
          <w:szCs w:val="20"/>
        </w:rPr>
        <w:t>- e</w:t>
      </w:r>
      <w:r w:rsidR="0006460C" w:rsidRPr="0006460C">
        <w:rPr>
          <w:rFonts w:ascii="Arial" w:hAnsi="Arial" w:cs="Arial"/>
          <w:b/>
          <w:sz w:val="20"/>
          <w:szCs w:val="20"/>
        </w:rPr>
        <w:t>sportabilità</w:t>
      </w:r>
    </w:p>
    <w:p w14:paraId="4428F877" w14:textId="77777777" w:rsidR="0006460C" w:rsidRPr="0006460C" w:rsidRDefault="0006460C" w:rsidP="0006460C">
      <w:pPr>
        <w:numPr>
          <w:ilvl w:val="0"/>
          <w:numId w:val="15"/>
        </w:numPr>
        <w:tabs>
          <w:tab w:val="clear" w:pos="360"/>
        </w:tabs>
        <w:spacing w:line="276" w:lineRule="auto"/>
        <w:ind w:left="709" w:hanging="425"/>
        <w:jc w:val="both"/>
        <w:rPr>
          <w:rFonts w:ascii="Arial" w:hAnsi="Arial" w:cs="Arial"/>
          <w:sz w:val="20"/>
          <w:szCs w:val="20"/>
        </w:rPr>
      </w:pPr>
      <w:r w:rsidRPr="0006460C">
        <w:rPr>
          <w:rFonts w:ascii="Arial" w:hAnsi="Arial" w:cs="Arial"/>
          <w:sz w:val="20"/>
          <w:szCs w:val="20"/>
        </w:rPr>
        <w:t>consentire l’estrazione di contenuti del repository, in base a query utente, in formato strutturato, come CSV, PDF, HTML, MS Excel, MS Power Point.</w:t>
      </w:r>
    </w:p>
    <w:p w14:paraId="2B9BBBE5" w14:textId="3837441A" w:rsidR="00BE5CF8" w:rsidRPr="00C505D6" w:rsidRDefault="00BE5CF8" w:rsidP="000C2F46">
      <w:pPr>
        <w:spacing w:line="276" w:lineRule="auto"/>
        <w:jc w:val="both"/>
        <w:rPr>
          <w:rFonts w:ascii="Arial" w:hAnsi="Arial" w:cs="Arial"/>
          <w:sz w:val="20"/>
          <w:szCs w:val="20"/>
        </w:rPr>
      </w:pPr>
    </w:p>
    <w:p w14:paraId="01EC6F20" w14:textId="796C7427" w:rsidR="0006460C" w:rsidRPr="00C505D6" w:rsidRDefault="0006460C" w:rsidP="009B7132">
      <w:pPr>
        <w:spacing w:line="276" w:lineRule="auto"/>
        <w:jc w:val="both"/>
        <w:rPr>
          <w:rFonts w:ascii="Arial" w:hAnsi="Arial" w:cs="Arial"/>
          <w:sz w:val="20"/>
          <w:szCs w:val="20"/>
        </w:rPr>
      </w:pPr>
      <w:r w:rsidRPr="00C505D6">
        <w:rPr>
          <w:rFonts w:ascii="Arial" w:hAnsi="Arial" w:cs="Arial"/>
          <w:sz w:val="20"/>
          <w:szCs w:val="20"/>
        </w:rPr>
        <w:t xml:space="preserve">Sulla base dei requisiti tecnici sopra elencati, </w:t>
      </w:r>
      <w:r w:rsidR="00B6707A" w:rsidRPr="00C505D6">
        <w:rPr>
          <w:rFonts w:ascii="Arial" w:hAnsi="Arial" w:cs="Arial"/>
          <w:sz w:val="20"/>
          <w:szCs w:val="20"/>
        </w:rPr>
        <w:t>il 07/03/2023 Consip</w:t>
      </w:r>
      <w:r w:rsidR="006B5150">
        <w:rPr>
          <w:rFonts w:ascii="Arial" w:hAnsi="Arial" w:cs="Arial"/>
          <w:sz w:val="20"/>
          <w:szCs w:val="20"/>
        </w:rPr>
        <w:t xml:space="preserve"> S.pA.</w:t>
      </w:r>
      <w:r w:rsidRPr="00C505D6">
        <w:rPr>
          <w:rFonts w:ascii="Arial" w:hAnsi="Arial" w:cs="Arial"/>
          <w:sz w:val="20"/>
          <w:szCs w:val="20"/>
        </w:rPr>
        <w:t xml:space="preserve"> ha indetto una </w:t>
      </w:r>
      <w:r w:rsidR="00B6707A" w:rsidRPr="00C505D6">
        <w:rPr>
          <w:rFonts w:ascii="Arial" w:hAnsi="Arial" w:cs="Arial"/>
          <w:sz w:val="20"/>
          <w:szCs w:val="20"/>
        </w:rPr>
        <w:t>“Gara a procedura aperta ai sensi del D.Lgs. n. 50/2016 e s.m.i., per l’affidamento del rinnovo della piattaforma di Enterprise Architecture per Sogei”, aperta anche ad altre soluzioni tecnologiche.</w:t>
      </w:r>
    </w:p>
    <w:p w14:paraId="267E6DD4" w14:textId="002C8EBE" w:rsidR="00B6707A" w:rsidRPr="00C505D6" w:rsidRDefault="00B6707A" w:rsidP="000C2F46">
      <w:pPr>
        <w:spacing w:line="276" w:lineRule="auto"/>
        <w:jc w:val="both"/>
        <w:rPr>
          <w:rFonts w:ascii="Arial" w:hAnsi="Arial" w:cs="Arial"/>
          <w:sz w:val="20"/>
          <w:szCs w:val="20"/>
        </w:rPr>
      </w:pPr>
      <w:r w:rsidRPr="00C505D6">
        <w:rPr>
          <w:rFonts w:ascii="Arial" w:hAnsi="Arial" w:cs="Arial"/>
          <w:sz w:val="20"/>
          <w:szCs w:val="20"/>
        </w:rPr>
        <w:t>La gara, aggiudicata il 12 giugno 2023, ha confermato la scelta della soluzione Quest Erwin.</w:t>
      </w:r>
    </w:p>
    <w:p w14:paraId="1A6189D1" w14:textId="77777777" w:rsidR="00B6707A" w:rsidRPr="00C505D6" w:rsidRDefault="00B6707A" w:rsidP="000C2F46">
      <w:pPr>
        <w:spacing w:line="276" w:lineRule="auto"/>
        <w:jc w:val="both"/>
        <w:rPr>
          <w:rFonts w:ascii="Arial" w:hAnsi="Arial" w:cs="Arial"/>
          <w:sz w:val="20"/>
          <w:szCs w:val="20"/>
        </w:rPr>
      </w:pPr>
    </w:p>
    <w:p w14:paraId="770C8F7C" w14:textId="6615789E" w:rsidR="00B6707A" w:rsidRPr="00C505D6" w:rsidRDefault="00B6707A" w:rsidP="000C2F46">
      <w:pPr>
        <w:spacing w:line="276" w:lineRule="auto"/>
        <w:jc w:val="both"/>
        <w:rPr>
          <w:rFonts w:ascii="Arial" w:hAnsi="Arial" w:cs="Arial"/>
          <w:sz w:val="20"/>
          <w:szCs w:val="20"/>
        </w:rPr>
      </w:pPr>
      <w:r w:rsidRPr="00C505D6">
        <w:rPr>
          <w:rFonts w:ascii="Arial" w:hAnsi="Arial" w:cs="Arial"/>
          <w:sz w:val="20"/>
          <w:szCs w:val="20"/>
        </w:rPr>
        <w:t>Pertanto Sogei</w:t>
      </w:r>
      <w:r w:rsidR="004241BA" w:rsidRPr="00C505D6">
        <w:rPr>
          <w:rFonts w:ascii="Arial" w:hAnsi="Arial" w:cs="Arial"/>
          <w:sz w:val="20"/>
          <w:szCs w:val="20"/>
        </w:rPr>
        <w:t>, ritenendo che sussistano le condizioni per proseguire l’utilizzo della soluzione Erwin, non esistendo al momento un’alternativa tecnologicamente equivalente</w:t>
      </w:r>
      <w:r w:rsidR="00C505D6" w:rsidRPr="00C505D6">
        <w:rPr>
          <w:rFonts w:ascii="Arial" w:hAnsi="Arial" w:cs="Arial"/>
          <w:sz w:val="20"/>
          <w:szCs w:val="20"/>
        </w:rPr>
        <w:t xml:space="preserve"> basata sui requisiti minimi sopra esposti</w:t>
      </w:r>
      <w:r w:rsidR="004241BA" w:rsidRPr="00C505D6">
        <w:rPr>
          <w:rFonts w:ascii="Arial" w:hAnsi="Arial" w:cs="Arial"/>
          <w:sz w:val="20"/>
          <w:szCs w:val="20"/>
        </w:rPr>
        <w:t>, e valutando</w:t>
      </w:r>
      <w:r w:rsidR="00C505D6" w:rsidRPr="00C505D6">
        <w:rPr>
          <w:rFonts w:ascii="Arial" w:hAnsi="Arial" w:cs="Arial"/>
          <w:sz w:val="20"/>
          <w:szCs w:val="20"/>
        </w:rPr>
        <w:t xml:space="preserve"> in ogni caso</w:t>
      </w:r>
      <w:r w:rsidR="004241BA" w:rsidRPr="00C505D6">
        <w:rPr>
          <w:rFonts w:ascii="Arial" w:hAnsi="Arial" w:cs="Arial"/>
          <w:sz w:val="20"/>
          <w:szCs w:val="20"/>
        </w:rPr>
        <w:t xml:space="preserve"> altresì antieconomica la migrazione ad altra soluzione,</w:t>
      </w:r>
      <w:r w:rsidRPr="00C505D6">
        <w:rPr>
          <w:rFonts w:ascii="Arial" w:hAnsi="Arial" w:cs="Arial"/>
          <w:sz w:val="20"/>
          <w:szCs w:val="20"/>
        </w:rPr>
        <w:t xml:space="preserve"> intende </w:t>
      </w:r>
      <w:r w:rsidR="004241BA" w:rsidRPr="00C505D6">
        <w:rPr>
          <w:rFonts w:ascii="Arial" w:hAnsi="Arial" w:cs="Arial"/>
          <w:sz w:val="20"/>
          <w:szCs w:val="20"/>
        </w:rPr>
        <w:t xml:space="preserve">procedere all’acquisizione del rinnovo delle sottoscrizioni Erwin </w:t>
      </w:r>
      <w:r w:rsidR="006D1116">
        <w:rPr>
          <w:rFonts w:ascii="Arial" w:hAnsi="Arial" w:cs="Arial"/>
          <w:sz w:val="20"/>
          <w:szCs w:val="20"/>
        </w:rPr>
        <w:t xml:space="preserve">relative al prodotto software per l’Enterprise Architecture e al prodotto per la Data Governance </w:t>
      </w:r>
      <w:r w:rsidR="004241BA" w:rsidRPr="00C505D6">
        <w:rPr>
          <w:rFonts w:ascii="Arial" w:hAnsi="Arial" w:cs="Arial"/>
          <w:sz w:val="20"/>
          <w:szCs w:val="20"/>
        </w:rPr>
        <w:t>e dei servizi correlati attraverso un Appalto Specifico sul Sistema Dinamico della Pubblica Amministrazione in ambito ICT tra tutti i rivenditori autorizzati e i business partner/software integrator dei prodotti Erwin</w:t>
      </w:r>
      <w:r w:rsidR="006D1116">
        <w:rPr>
          <w:rFonts w:ascii="Arial" w:hAnsi="Arial" w:cs="Arial"/>
          <w:sz w:val="20"/>
          <w:szCs w:val="20"/>
        </w:rPr>
        <w:t>/Persistent</w:t>
      </w:r>
      <w:r w:rsidR="004241BA" w:rsidRPr="00C505D6">
        <w:rPr>
          <w:rFonts w:ascii="Arial" w:hAnsi="Arial" w:cs="Arial"/>
          <w:sz w:val="20"/>
          <w:szCs w:val="20"/>
        </w:rPr>
        <w:t>.</w:t>
      </w:r>
    </w:p>
    <w:p w14:paraId="769B5D0B" w14:textId="77777777" w:rsidR="004241BA" w:rsidRDefault="004241BA" w:rsidP="000C2F46">
      <w:pPr>
        <w:spacing w:line="276" w:lineRule="auto"/>
        <w:jc w:val="both"/>
        <w:rPr>
          <w:rFonts w:ascii="Arial" w:hAnsi="Arial" w:cs="Arial"/>
          <w:color w:val="0070C0"/>
          <w:sz w:val="20"/>
          <w:szCs w:val="20"/>
        </w:rPr>
      </w:pPr>
    </w:p>
    <w:p w14:paraId="53F1D1B7" w14:textId="3E354D2C" w:rsidR="004241BA" w:rsidRPr="00286F09" w:rsidRDefault="004241BA" w:rsidP="000C2F46">
      <w:pPr>
        <w:spacing w:line="276" w:lineRule="auto"/>
        <w:jc w:val="both"/>
        <w:rPr>
          <w:rFonts w:ascii="Arial" w:hAnsi="Arial" w:cs="Arial"/>
          <w:sz w:val="20"/>
          <w:szCs w:val="20"/>
        </w:rPr>
      </w:pPr>
      <w:r w:rsidRPr="00286F09">
        <w:rPr>
          <w:rFonts w:ascii="Arial" w:hAnsi="Arial" w:cs="Arial"/>
          <w:sz w:val="20"/>
          <w:szCs w:val="20"/>
        </w:rPr>
        <w:t>Il fabbisogno dei prodotti e servizi con le relative quantità è di seguito riportato:</w:t>
      </w:r>
    </w:p>
    <w:tbl>
      <w:tblPr>
        <w:tblW w:w="9080" w:type="dxa"/>
        <w:tblCellMar>
          <w:left w:w="70" w:type="dxa"/>
          <w:right w:w="70" w:type="dxa"/>
        </w:tblCellMar>
        <w:tblLook w:val="04A0" w:firstRow="1" w:lastRow="0" w:firstColumn="1" w:lastColumn="0" w:noHBand="0" w:noVBand="1"/>
      </w:tblPr>
      <w:tblGrid>
        <w:gridCol w:w="3733"/>
        <w:gridCol w:w="2236"/>
        <w:gridCol w:w="1656"/>
        <w:gridCol w:w="1455"/>
      </w:tblGrid>
      <w:tr w:rsidR="004241BA" w14:paraId="11452DE5" w14:textId="77777777" w:rsidTr="004241BA">
        <w:trPr>
          <w:trHeight w:val="720"/>
        </w:trPr>
        <w:tc>
          <w:tcPr>
            <w:tcW w:w="3733" w:type="dxa"/>
            <w:tcBorders>
              <w:top w:val="single" w:sz="4" w:space="0" w:color="auto"/>
              <w:left w:val="single" w:sz="4" w:space="0" w:color="auto"/>
              <w:bottom w:val="single" w:sz="4" w:space="0" w:color="auto"/>
              <w:right w:val="single" w:sz="4" w:space="0" w:color="auto"/>
            </w:tcBorders>
            <w:hideMark/>
          </w:tcPr>
          <w:p w14:paraId="7B9A9724" w14:textId="77777777" w:rsidR="004241BA" w:rsidRDefault="004241BA">
            <w:pPr>
              <w:ind w:firstLineChars="100" w:firstLine="181"/>
              <w:rPr>
                <w:rFonts w:ascii="Arial" w:hAnsi="Arial" w:cs="Arial"/>
                <w:b/>
                <w:bCs/>
                <w:sz w:val="18"/>
                <w:szCs w:val="18"/>
              </w:rPr>
            </w:pPr>
            <w:r>
              <w:rPr>
                <w:rFonts w:ascii="Arial" w:hAnsi="Arial" w:cs="Arial"/>
                <w:b/>
                <w:bCs/>
                <w:sz w:val="18"/>
                <w:szCs w:val="18"/>
              </w:rPr>
              <w:t xml:space="preserve">Descrizione </w:t>
            </w:r>
          </w:p>
        </w:tc>
        <w:tc>
          <w:tcPr>
            <w:tcW w:w="2236" w:type="dxa"/>
            <w:tcBorders>
              <w:top w:val="single" w:sz="4" w:space="0" w:color="auto"/>
              <w:left w:val="nil"/>
              <w:bottom w:val="single" w:sz="4" w:space="0" w:color="auto"/>
              <w:right w:val="single" w:sz="4" w:space="0" w:color="auto"/>
            </w:tcBorders>
            <w:hideMark/>
          </w:tcPr>
          <w:p w14:paraId="74A528FA" w14:textId="77777777" w:rsidR="004241BA" w:rsidRDefault="004241BA">
            <w:pPr>
              <w:ind w:firstLineChars="100" w:firstLine="181"/>
              <w:rPr>
                <w:rFonts w:ascii="Arial" w:hAnsi="Arial" w:cs="Arial"/>
                <w:b/>
                <w:bCs/>
                <w:color w:val="000000"/>
                <w:sz w:val="18"/>
                <w:szCs w:val="18"/>
              </w:rPr>
            </w:pPr>
            <w:r>
              <w:rPr>
                <w:rFonts w:ascii="Arial" w:hAnsi="Arial" w:cs="Arial"/>
                <w:b/>
                <w:bCs/>
                <w:sz w:val="18"/>
                <w:szCs w:val="18"/>
              </w:rPr>
              <w:t>Codice del prodotto</w:t>
            </w:r>
          </w:p>
        </w:tc>
        <w:tc>
          <w:tcPr>
            <w:tcW w:w="1656" w:type="dxa"/>
            <w:tcBorders>
              <w:top w:val="single" w:sz="4" w:space="0" w:color="auto"/>
              <w:left w:val="nil"/>
              <w:bottom w:val="single" w:sz="4" w:space="0" w:color="auto"/>
              <w:right w:val="single" w:sz="4" w:space="0" w:color="auto"/>
            </w:tcBorders>
            <w:hideMark/>
          </w:tcPr>
          <w:p w14:paraId="7F21E40B" w14:textId="77777777" w:rsidR="004241BA" w:rsidRDefault="004241BA">
            <w:pPr>
              <w:ind w:firstLineChars="100" w:firstLine="181"/>
              <w:rPr>
                <w:rFonts w:ascii="Arial" w:hAnsi="Arial" w:cs="Arial"/>
                <w:b/>
                <w:bCs/>
                <w:color w:val="000000"/>
                <w:sz w:val="18"/>
                <w:szCs w:val="18"/>
              </w:rPr>
            </w:pPr>
            <w:r>
              <w:rPr>
                <w:rFonts w:ascii="Arial" w:hAnsi="Arial" w:cs="Arial"/>
                <w:b/>
                <w:bCs/>
                <w:sz w:val="18"/>
                <w:szCs w:val="18"/>
              </w:rPr>
              <w:t>Quantità</w:t>
            </w:r>
          </w:p>
        </w:tc>
        <w:tc>
          <w:tcPr>
            <w:tcW w:w="1455" w:type="dxa"/>
            <w:tcBorders>
              <w:top w:val="single" w:sz="4" w:space="0" w:color="auto"/>
              <w:left w:val="nil"/>
              <w:bottom w:val="single" w:sz="4" w:space="0" w:color="auto"/>
              <w:right w:val="single" w:sz="4" w:space="0" w:color="auto"/>
            </w:tcBorders>
            <w:hideMark/>
          </w:tcPr>
          <w:p w14:paraId="5236897C" w14:textId="756892F4" w:rsidR="004241BA" w:rsidRDefault="00C505D6">
            <w:pPr>
              <w:ind w:firstLineChars="100" w:firstLine="181"/>
              <w:rPr>
                <w:rFonts w:ascii="Arial" w:hAnsi="Arial" w:cs="Arial"/>
                <w:b/>
                <w:bCs/>
                <w:color w:val="000000"/>
                <w:sz w:val="18"/>
                <w:szCs w:val="18"/>
              </w:rPr>
            </w:pPr>
            <w:r>
              <w:rPr>
                <w:rFonts w:ascii="Arial" w:hAnsi="Arial" w:cs="Arial"/>
                <w:b/>
                <w:bCs/>
                <w:sz w:val="18"/>
                <w:szCs w:val="18"/>
              </w:rPr>
              <w:t>Mesi</w:t>
            </w:r>
          </w:p>
        </w:tc>
      </w:tr>
      <w:tr w:rsidR="004241BA" w14:paraId="73DCC9A4" w14:textId="77777777" w:rsidTr="004241BA">
        <w:trPr>
          <w:trHeight w:val="456"/>
        </w:trPr>
        <w:tc>
          <w:tcPr>
            <w:tcW w:w="3733" w:type="dxa"/>
            <w:tcBorders>
              <w:top w:val="nil"/>
              <w:left w:val="single" w:sz="4" w:space="0" w:color="auto"/>
              <w:bottom w:val="single" w:sz="4" w:space="0" w:color="auto"/>
              <w:right w:val="single" w:sz="4" w:space="0" w:color="auto"/>
            </w:tcBorders>
            <w:hideMark/>
          </w:tcPr>
          <w:p w14:paraId="25FE677C" w14:textId="77777777" w:rsidR="004241BA" w:rsidRPr="004241BA" w:rsidRDefault="004241BA">
            <w:pPr>
              <w:ind w:firstLineChars="100" w:firstLine="180"/>
              <w:rPr>
                <w:rFonts w:ascii="Arial" w:hAnsi="Arial" w:cs="Arial"/>
                <w:sz w:val="18"/>
                <w:szCs w:val="18"/>
                <w:lang w:val="en-US"/>
              </w:rPr>
            </w:pPr>
            <w:r w:rsidRPr="004241BA">
              <w:rPr>
                <w:rFonts w:ascii="Arial" w:hAnsi="Arial" w:cs="Arial"/>
                <w:sz w:val="18"/>
                <w:szCs w:val="18"/>
                <w:lang w:val="en-US"/>
              </w:rPr>
              <w:t>Persistent Evolve Web Platform  Standard Edition  W/Named Modeler 24X7 Term License/Maint Pack</w:t>
            </w:r>
          </w:p>
        </w:tc>
        <w:tc>
          <w:tcPr>
            <w:tcW w:w="2236" w:type="dxa"/>
            <w:tcBorders>
              <w:top w:val="nil"/>
              <w:left w:val="nil"/>
              <w:bottom w:val="single" w:sz="4" w:space="0" w:color="auto"/>
              <w:right w:val="single" w:sz="4" w:space="0" w:color="auto"/>
            </w:tcBorders>
            <w:hideMark/>
          </w:tcPr>
          <w:p w14:paraId="2BD4C9DA" w14:textId="77777777" w:rsidR="004241BA" w:rsidRDefault="004241BA">
            <w:pPr>
              <w:ind w:firstLineChars="100" w:firstLine="180"/>
              <w:rPr>
                <w:rFonts w:ascii="Arial" w:hAnsi="Arial" w:cs="Arial"/>
                <w:color w:val="000000"/>
                <w:sz w:val="18"/>
                <w:szCs w:val="18"/>
              </w:rPr>
            </w:pPr>
            <w:r>
              <w:rPr>
                <w:rFonts w:ascii="Arial" w:hAnsi="Arial" w:cs="Arial"/>
                <w:sz w:val="18"/>
                <w:szCs w:val="18"/>
              </w:rPr>
              <w:t>AAG-PSL-TK-247</w:t>
            </w:r>
          </w:p>
        </w:tc>
        <w:tc>
          <w:tcPr>
            <w:tcW w:w="1656" w:type="dxa"/>
            <w:tcBorders>
              <w:top w:val="nil"/>
              <w:left w:val="nil"/>
              <w:bottom w:val="single" w:sz="4" w:space="0" w:color="auto"/>
              <w:right w:val="single" w:sz="4" w:space="0" w:color="auto"/>
            </w:tcBorders>
            <w:hideMark/>
          </w:tcPr>
          <w:p w14:paraId="1D5086D1"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w:t>
            </w:r>
          </w:p>
        </w:tc>
        <w:tc>
          <w:tcPr>
            <w:tcW w:w="1455" w:type="dxa"/>
            <w:tcBorders>
              <w:top w:val="nil"/>
              <w:left w:val="nil"/>
              <w:bottom w:val="single" w:sz="4" w:space="0" w:color="auto"/>
              <w:right w:val="single" w:sz="4" w:space="0" w:color="auto"/>
            </w:tcBorders>
            <w:hideMark/>
          </w:tcPr>
          <w:p w14:paraId="3550B281"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36</w:t>
            </w:r>
          </w:p>
        </w:tc>
      </w:tr>
      <w:tr w:rsidR="004241BA" w14:paraId="6797D56A" w14:textId="77777777" w:rsidTr="004241BA">
        <w:trPr>
          <w:trHeight w:val="456"/>
        </w:trPr>
        <w:tc>
          <w:tcPr>
            <w:tcW w:w="3733" w:type="dxa"/>
            <w:tcBorders>
              <w:top w:val="nil"/>
              <w:left w:val="single" w:sz="4" w:space="0" w:color="auto"/>
              <w:bottom w:val="single" w:sz="4" w:space="0" w:color="auto"/>
              <w:right w:val="single" w:sz="4" w:space="0" w:color="auto"/>
            </w:tcBorders>
            <w:hideMark/>
          </w:tcPr>
          <w:p w14:paraId="78307D0E" w14:textId="77777777" w:rsidR="004241BA" w:rsidRPr="004241BA" w:rsidRDefault="004241BA">
            <w:pPr>
              <w:ind w:firstLineChars="100" w:firstLine="180"/>
              <w:rPr>
                <w:rFonts w:ascii="Arial" w:hAnsi="Arial" w:cs="Arial"/>
                <w:sz w:val="18"/>
                <w:szCs w:val="18"/>
                <w:lang w:val="en-US"/>
              </w:rPr>
            </w:pPr>
            <w:r w:rsidRPr="004241BA">
              <w:rPr>
                <w:rFonts w:ascii="Arial" w:hAnsi="Arial" w:cs="Arial"/>
                <w:sz w:val="18"/>
                <w:szCs w:val="18"/>
                <w:lang w:val="en-US"/>
              </w:rPr>
              <w:t>Persistent DT Workflow Unlimited Process Per Server 24X7 Term License/Maint</w:t>
            </w:r>
          </w:p>
        </w:tc>
        <w:tc>
          <w:tcPr>
            <w:tcW w:w="2236" w:type="dxa"/>
            <w:tcBorders>
              <w:top w:val="nil"/>
              <w:left w:val="nil"/>
              <w:bottom w:val="single" w:sz="4" w:space="0" w:color="auto"/>
              <w:right w:val="single" w:sz="4" w:space="0" w:color="auto"/>
            </w:tcBorders>
            <w:hideMark/>
          </w:tcPr>
          <w:p w14:paraId="773A7240" w14:textId="77777777" w:rsidR="004241BA" w:rsidRDefault="004241BA">
            <w:pPr>
              <w:ind w:firstLineChars="100" w:firstLine="180"/>
              <w:rPr>
                <w:rFonts w:ascii="Arial" w:hAnsi="Arial" w:cs="Arial"/>
                <w:color w:val="000000"/>
                <w:sz w:val="18"/>
                <w:szCs w:val="18"/>
              </w:rPr>
            </w:pPr>
            <w:r>
              <w:rPr>
                <w:rFonts w:ascii="Arial" w:hAnsi="Arial" w:cs="Arial"/>
                <w:sz w:val="18"/>
                <w:szCs w:val="18"/>
              </w:rPr>
              <w:t>AAG-PSL-TB-247</w:t>
            </w:r>
          </w:p>
        </w:tc>
        <w:tc>
          <w:tcPr>
            <w:tcW w:w="1656" w:type="dxa"/>
            <w:tcBorders>
              <w:top w:val="nil"/>
              <w:left w:val="nil"/>
              <w:bottom w:val="single" w:sz="4" w:space="0" w:color="auto"/>
              <w:right w:val="single" w:sz="4" w:space="0" w:color="auto"/>
            </w:tcBorders>
            <w:hideMark/>
          </w:tcPr>
          <w:p w14:paraId="183DFE4F"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w:t>
            </w:r>
          </w:p>
        </w:tc>
        <w:tc>
          <w:tcPr>
            <w:tcW w:w="1455" w:type="dxa"/>
            <w:tcBorders>
              <w:top w:val="nil"/>
              <w:left w:val="nil"/>
              <w:bottom w:val="single" w:sz="4" w:space="0" w:color="auto"/>
              <w:right w:val="single" w:sz="4" w:space="0" w:color="auto"/>
            </w:tcBorders>
            <w:hideMark/>
          </w:tcPr>
          <w:p w14:paraId="1D51D652"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36</w:t>
            </w:r>
          </w:p>
        </w:tc>
      </w:tr>
      <w:tr w:rsidR="004241BA" w14:paraId="71FB794E" w14:textId="77777777" w:rsidTr="004241BA">
        <w:trPr>
          <w:trHeight w:val="456"/>
        </w:trPr>
        <w:tc>
          <w:tcPr>
            <w:tcW w:w="3733" w:type="dxa"/>
            <w:tcBorders>
              <w:top w:val="nil"/>
              <w:left w:val="single" w:sz="4" w:space="0" w:color="auto"/>
              <w:bottom w:val="single" w:sz="4" w:space="0" w:color="auto"/>
              <w:right w:val="single" w:sz="4" w:space="0" w:color="auto"/>
            </w:tcBorders>
            <w:hideMark/>
          </w:tcPr>
          <w:p w14:paraId="46E3243D" w14:textId="77777777" w:rsidR="004241BA" w:rsidRPr="004241BA" w:rsidRDefault="004241BA">
            <w:pPr>
              <w:ind w:firstLineChars="100" w:firstLine="180"/>
              <w:rPr>
                <w:rFonts w:ascii="Arial" w:hAnsi="Arial" w:cs="Arial"/>
                <w:sz w:val="18"/>
                <w:szCs w:val="18"/>
                <w:lang w:val="en-US"/>
              </w:rPr>
            </w:pPr>
            <w:r w:rsidRPr="004241BA">
              <w:rPr>
                <w:rFonts w:ascii="Arial" w:hAnsi="Arial" w:cs="Arial"/>
                <w:sz w:val="18"/>
                <w:szCs w:val="18"/>
                <w:lang w:val="en-US"/>
              </w:rPr>
              <w:t>Persistent  Evolve Document Generator Site License Per Server 24X7  Term License/Maint</w:t>
            </w:r>
          </w:p>
        </w:tc>
        <w:tc>
          <w:tcPr>
            <w:tcW w:w="2236" w:type="dxa"/>
            <w:tcBorders>
              <w:top w:val="nil"/>
              <w:left w:val="nil"/>
              <w:bottom w:val="single" w:sz="4" w:space="0" w:color="auto"/>
              <w:right w:val="single" w:sz="4" w:space="0" w:color="auto"/>
            </w:tcBorders>
            <w:hideMark/>
          </w:tcPr>
          <w:p w14:paraId="12F2251C" w14:textId="77777777" w:rsidR="004241BA" w:rsidRDefault="004241BA">
            <w:pPr>
              <w:ind w:firstLineChars="100" w:firstLine="180"/>
              <w:rPr>
                <w:rFonts w:ascii="Arial" w:hAnsi="Arial" w:cs="Arial"/>
                <w:color w:val="000000"/>
                <w:sz w:val="18"/>
                <w:szCs w:val="18"/>
              </w:rPr>
            </w:pPr>
            <w:r>
              <w:rPr>
                <w:rFonts w:ascii="Arial" w:hAnsi="Arial" w:cs="Arial"/>
                <w:sz w:val="18"/>
                <w:szCs w:val="18"/>
              </w:rPr>
              <w:t>ABT-PSL-TB-247</w:t>
            </w:r>
          </w:p>
        </w:tc>
        <w:tc>
          <w:tcPr>
            <w:tcW w:w="1656" w:type="dxa"/>
            <w:tcBorders>
              <w:top w:val="nil"/>
              <w:left w:val="nil"/>
              <w:bottom w:val="single" w:sz="4" w:space="0" w:color="auto"/>
              <w:right w:val="single" w:sz="4" w:space="0" w:color="auto"/>
            </w:tcBorders>
            <w:hideMark/>
          </w:tcPr>
          <w:p w14:paraId="6E865AB1"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1</w:t>
            </w:r>
          </w:p>
        </w:tc>
        <w:tc>
          <w:tcPr>
            <w:tcW w:w="1455" w:type="dxa"/>
            <w:tcBorders>
              <w:top w:val="nil"/>
              <w:left w:val="nil"/>
              <w:bottom w:val="single" w:sz="4" w:space="0" w:color="auto"/>
              <w:right w:val="single" w:sz="4" w:space="0" w:color="auto"/>
            </w:tcBorders>
            <w:hideMark/>
          </w:tcPr>
          <w:p w14:paraId="335228FE"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36</w:t>
            </w:r>
          </w:p>
        </w:tc>
      </w:tr>
      <w:tr w:rsidR="004241BA" w14:paraId="24999D47" w14:textId="77777777" w:rsidTr="004241BA">
        <w:trPr>
          <w:trHeight w:val="456"/>
        </w:trPr>
        <w:tc>
          <w:tcPr>
            <w:tcW w:w="3733" w:type="dxa"/>
            <w:tcBorders>
              <w:top w:val="nil"/>
              <w:left w:val="single" w:sz="4" w:space="0" w:color="auto"/>
              <w:bottom w:val="single" w:sz="4" w:space="0" w:color="auto"/>
              <w:right w:val="single" w:sz="4" w:space="0" w:color="auto"/>
            </w:tcBorders>
            <w:hideMark/>
          </w:tcPr>
          <w:p w14:paraId="576987CA" w14:textId="77777777" w:rsidR="004241BA" w:rsidRPr="004241BA" w:rsidRDefault="004241BA">
            <w:pPr>
              <w:ind w:firstLineChars="100" w:firstLine="180"/>
              <w:rPr>
                <w:rFonts w:ascii="Arial" w:hAnsi="Arial" w:cs="Arial"/>
                <w:sz w:val="18"/>
                <w:szCs w:val="18"/>
                <w:lang w:val="en-US"/>
              </w:rPr>
            </w:pPr>
            <w:r w:rsidRPr="004241BA">
              <w:rPr>
                <w:rFonts w:ascii="Arial" w:hAnsi="Arial" w:cs="Arial"/>
                <w:sz w:val="18"/>
                <w:szCs w:val="18"/>
                <w:lang w:val="en-US"/>
              </w:rPr>
              <w:t>Persistent  Evolve Analytics Accelerator (Site License) Per Server 24X7  Term License/Maint</w:t>
            </w:r>
          </w:p>
        </w:tc>
        <w:tc>
          <w:tcPr>
            <w:tcW w:w="2236" w:type="dxa"/>
            <w:tcBorders>
              <w:top w:val="nil"/>
              <w:left w:val="nil"/>
              <w:bottom w:val="single" w:sz="4" w:space="0" w:color="auto"/>
              <w:right w:val="single" w:sz="4" w:space="0" w:color="auto"/>
            </w:tcBorders>
            <w:hideMark/>
          </w:tcPr>
          <w:p w14:paraId="068B444D" w14:textId="77777777" w:rsidR="004241BA" w:rsidRDefault="004241BA">
            <w:pPr>
              <w:ind w:firstLineChars="100" w:firstLine="180"/>
              <w:rPr>
                <w:rFonts w:ascii="Arial" w:hAnsi="Arial" w:cs="Arial"/>
                <w:color w:val="000000"/>
                <w:sz w:val="18"/>
                <w:szCs w:val="18"/>
              </w:rPr>
            </w:pPr>
            <w:r>
              <w:rPr>
                <w:rFonts w:ascii="Arial" w:hAnsi="Arial" w:cs="Arial"/>
                <w:sz w:val="18"/>
                <w:szCs w:val="18"/>
              </w:rPr>
              <w:t>ABN-PSL-TB-247</w:t>
            </w:r>
          </w:p>
        </w:tc>
        <w:tc>
          <w:tcPr>
            <w:tcW w:w="1656" w:type="dxa"/>
            <w:tcBorders>
              <w:top w:val="nil"/>
              <w:left w:val="nil"/>
              <w:bottom w:val="single" w:sz="4" w:space="0" w:color="auto"/>
              <w:right w:val="single" w:sz="4" w:space="0" w:color="auto"/>
            </w:tcBorders>
            <w:hideMark/>
          </w:tcPr>
          <w:p w14:paraId="27C7F160"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1</w:t>
            </w:r>
          </w:p>
        </w:tc>
        <w:tc>
          <w:tcPr>
            <w:tcW w:w="1455" w:type="dxa"/>
            <w:tcBorders>
              <w:top w:val="nil"/>
              <w:left w:val="nil"/>
              <w:bottom w:val="single" w:sz="4" w:space="0" w:color="auto"/>
              <w:right w:val="single" w:sz="4" w:space="0" w:color="auto"/>
            </w:tcBorders>
            <w:hideMark/>
          </w:tcPr>
          <w:p w14:paraId="3C83BA94"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36</w:t>
            </w:r>
          </w:p>
        </w:tc>
      </w:tr>
      <w:tr w:rsidR="004241BA" w14:paraId="2A49CBEB" w14:textId="77777777" w:rsidTr="004241BA">
        <w:trPr>
          <w:trHeight w:val="684"/>
        </w:trPr>
        <w:tc>
          <w:tcPr>
            <w:tcW w:w="3733" w:type="dxa"/>
            <w:tcBorders>
              <w:top w:val="nil"/>
              <w:left w:val="single" w:sz="4" w:space="0" w:color="auto"/>
              <w:bottom w:val="single" w:sz="4" w:space="0" w:color="auto"/>
              <w:right w:val="single" w:sz="4" w:space="0" w:color="auto"/>
            </w:tcBorders>
            <w:hideMark/>
          </w:tcPr>
          <w:p w14:paraId="34337AA5" w14:textId="77777777" w:rsidR="004241BA" w:rsidRPr="004241BA" w:rsidRDefault="004241BA">
            <w:pPr>
              <w:ind w:firstLineChars="100" w:firstLine="180"/>
              <w:rPr>
                <w:rFonts w:ascii="Arial" w:hAnsi="Arial" w:cs="Arial"/>
                <w:color w:val="000000"/>
                <w:sz w:val="18"/>
                <w:szCs w:val="18"/>
                <w:lang w:val="en-US"/>
              </w:rPr>
            </w:pPr>
            <w:r w:rsidRPr="004241BA">
              <w:rPr>
                <w:rFonts w:ascii="Arial" w:hAnsi="Arial" w:cs="Arial"/>
                <w:sz w:val="18"/>
                <w:szCs w:val="18"/>
                <w:lang w:val="en-US"/>
              </w:rPr>
              <w:t>Persistent  Evolve Contributor - 50 License Pack Per Named User</w:t>
            </w:r>
            <w:r w:rsidRPr="004241BA">
              <w:rPr>
                <w:rFonts w:ascii="Arial" w:hAnsi="Arial" w:cs="Arial"/>
                <w:color w:val="000000"/>
                <w:sz w:val="18"/>
                <w:szCs w:val="18"/>
                <w:lang w:val="en-US"/>
              </w:rPr>
              <w:t xml:space="preserve"> 24X7  Term</w:t>
            </w:r>
            <w:r w:rsidRPr="004241BA">
              <w:rPr>
                <w:rFonts w:ascii="Arial" w:hAnsi="Arial" w:cs="Arial"/>
                <w:color w:val="000000"/>
                <w:sz w:val="18"/>
                <w:szCs w:val="18"/>
                <w:lang w:val="en-US"/>
              </w:rPr>
              <w:br/>
              <w:t>License/Maint</w:t>
            </w:r>
          </w:p>
        </w:tc>
        <w:tc>
          <w:tcPr>
            <w:tcW w:w="2236" w:type="dxa"/>
            <w:tcBorders>
              <w:top w:val="nil"/>
              <w:left w:val="nil"/>
              <w:bottom w:val="single" w:sz="4" w:space="0" w:color="auto"/>
              <w:right w:val="single" w:sz="4" w:space="0" w:color="auto"/>
            </w:tcBorders>
            <w:hideMark/>
          </w:tcPr>
          <w:p w14:paraId="35F4DB37" w14:textId="77777777" w:rsidR="004241BA" w:rsidRDefault="004241BA">
            <w:pPr>
              <w:ind w:firstLineChars="100" w:firstLine="180"/>
              <w:rPr>
                <w:rFonts w:ascii="Arial" w:hAnsi="Arial" w:cs="Arial"/>
                <w:color w:val="000000"/>
                <w:sz w:val="18"/>
                <w:szCs w:val="18"/>
              </w:rPr>
            </w:pPr>
            <w:r>
              <w:rPr>
                <w:rFonts w:ascii="Arial" w:hAnsi="Arial" w:cs="Arial"/>
                <w:sz w:val="18"/>
                <w:szCs w:val="18"/>
              </w:rPr>
              <w:t>ABQ-PSL-TB-247</w:t>
            </w:r>
          </w:p>
        </w:tc>
        <w:tc>
          <w:tcPr>
            <w:tcW w:w="1656" w:type="dxa"/>
            <w:tcBorders>
              <w:top w:val="nil"/>
              <w:left w:val="nil"/>
              <w:bottom w:val="single" w:sz="4" w:space="0" w:color="auto"/>
              <w:right w:val="single" w:sz="4" w:space="0" w:color="auto"/>
            </w:tcBorders>
            <w:hideMark/>
          </w:tcPr>
          <w:p w14:paraId="0D8AAD91"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5</w:t>
            </w:r>
          </w:p>
        </w:tc>
        <w:tc>
          <w:tcPr>
            <w:tcW w:w="1455" w:type="dxa"/>
            <w:tcBorders>
              <w:top w:val="nil"/>
              <w:left w:val="nil"/>
              <w:bottom w:val="single" w:sz="4" w:space="0" w:color="auto"/>
              <w:right w:val="single" w:sz="4" w:space="0" w:color="auto"/>
            </w:tcBorders>
            <w:hideMark/>
          </w:tcPr>
          <w:p w14:paraId="1C314C53" w14:textId="0B80F3C0" w:rsidR="004241BA" w:rsidRDefault="004241BA" w:rsidP="002A00AA">
            <w:pPr>
              <w:jc w:val="center"/>
              <w:rPr>
                <w:rFonts w:ascii="Arial" w:hAnsi="Arial" w:cs="Arial"/>
                <w:color w:val="000000"/>
                <w:sz w:val="18"/>
                <w:szCs w:val="18"/>
              </w:rPr>
            </w:pPr>
            <w:r>
              <w:rPr>
                <w:rFonts w:ascii="Arial" w:hAnsi="Arial" w:cs="Arial"/>
                <w:color w:val="000000"/>
                <w:sz w:val="18"/>
                <w:szCs w:val="18"/>
              </w:rPr>
              <w:t>3</w:t>
            </w:r>
            <w:r w:rsidR="00C41B8A">
              <w:rPr>
                <w:rFonts w:ascii="Arial" w:hAnsi="Arial" w:cs="Arial"/>
                <w:color w:val="000000"/>
                <w:sz w:val="18"/>
                <w:szCs w:val="18"/>
              </w:rPr>
              <w:t>6</w:t>
            </w:r>
          </w:p>
        </w:tc>
      </w:tr>
      <w:tr w:rsidR="004241BA" w14:paraId="1C93DF9B" w14:textId="77777777" w:rsidTr="004241BA">
        <w:trPr>
          <w:trHeight w:val="456"/>
        </w:trPr>
        <w:tc>
          <w:tcPr>
            <w:tcW w:w="3733" w:type="dxa"/>
            <w:tcBorders>
              <w:top w:val="nil"/>
              <w:left w:val="single" w:sz="4" w:space="0" w:color="auto"/>
              <w:bottom w:val="single" w:sz="4" w:space="0" w:color="auto"/>
              <w:right w:val="single" w:sz="4" w:space="0" w:color="auto"/>
            </w:tcBorders>
            <w:hideMark/>
          </w:tcPr>
          <w:p w14:paraId="6C20BFF3" w14:textId="77777777" w:rsidR="004241BA" w:rsidRPr="004241BA" w:rsidRDefault="004241BA">
            <w:pPr>
              <w:ind w:firstLineChars="100" w:firstLine="180"/>
              <w:rPr>
                <w:rFonts w:ascii="Arial" w:hAnsi="Arial" w:cs="Arial"/>
                <w:sz w:val="18"/>
                <w:szCs w:val="18"/>
                <w:lang w:val="en-US"/>
              </w:rPr>
            </w:pPr>
            <w:r w:rsidRPr="004241BA">
              <w:rPr>
                <w:rFonts w:ascii="Arial" w:hAnsi="Arial" w:cs="Arial"/>
                <w:sz w:val="18"/>
                <w:szCs w:val="18"/>
                <w:lang w:val="en-US"/>
              </w:rPr>
              <w:t>Persistent  Evolve Modeler Per Concurrent User 24X7 Term LIcense/Maint</w:t>
            </w:r>
          </w:p>
        </w:tc>
        <w:tc>
          <w:tcPr>
            <w:tcW w:w="2236" w:type="dxa"/>
            <w:tcBorders>
              <w:top w:val="nil"/>
              <w:left w:val="nil"/>
              <w:bottom w:val="single" w:sz="4" w:space="0" w:color="auto"/>
              <w:right w:val="single" w:sz="4" w:space="0" w:color="auto"/>
            </w:tcBorders>
            <w:hideMark/>
          </w:tcPr>
          <w:p w14:paraId="3F70B55A" w14:textId="77777777" w:rsidR="004241BA" w:rsidRDefault="004241BA" w:rsidP="00C505D6">
            <w:pPr>
              <w:jc w:val="center"/>
              <w:rPr>
                <w:rFonts w:ascii="Arial" w:hAnsi="Arial" w:cs="Arial"/>
                <w:color w:val="000000"/>
                <w:sz w:val="18"/>
                <w:szCs w:val="18"/>
              </w:rPr>
            </w:pPr>
            <w:r>
              <w:rPr>
                <w:rFonts w:ascii="Arial" w:hAnsi="Arial" w:cs="Arial"/>
                <w:sz w:val="18"/>
                <w:szCs w:val="18"/>
              </w:rPr>
              <w:t>ABK-PSL-TB-247</w:t>
            </w:r>
          </w:p>
        </w:tc>
        <w:tc>
          <w:tcPr>
            <w:tcW w:w="1656" w:type="dxa"/>
            <w:tcBorders>
              <w:top w:val="nil"/>
              <w:left w:val="nil"/>
              <w:bottom w:val="single" w:sz="4" w:space="0" w:color="auto"/>
              <w:right w:val="single" w:sz="4" w:space="0" w:color="auto"/>
            </w:tcBorders>
            <w:hideMark/>
          </w:tcPr>
          <w:p w14:paraId="61EA2312"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10</w:t>
            </w:r>
          </w:p>
        </w:tc>
        <w:tc>
          <w:tcPr>
            <w:tcW w:w="1455" w:type="dxa"/>
            <w:tcBorders>
              <w:top w:val="nil"/>
              <w:left w:val="nil"/>
              <w:bottom w:val="single" w:sz="4" w:space="0" w:color="auto"/>
              <w:right w:val="single" w:sz="4" w:space="0" w:color="auto"/>
            </w:tcBorders>
            <w:hideMark/>
          </w:tcPr>
          <w:p w14:paraId="6E506086"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36</w:t>
            </w:r>
          </w:p>
        </w:tc>
      </w:tr>
      <w:tr w:rsidR="004241BA" w14:paraId="5F8313F3" w14:textId="77777777" w:rsidTr="004241BA">
        <w:trPr>
          <w:trHeight w:val="456"/>
        </w:trPr>
        <w:tc>
          <w:tcPr>
            <w:tcW w:w="3733" w:type="dxa"/>
            <w:tcBorders>
              <w:top w:val="nil"/>
              <w:left w:val="single" w:sz="4" w:space="0" w:color="auto"/>
              <w:bottom w:val="single" w:sz="4" w:space="0" w:color="auto"/>
              <w:right w:val="single" w:sz="4" w:space="0" w:color="auto"/>
            </w:tcBorders>
            <w:hideMark/>
          </w:tcPr>
          <w:p w14:paraId="6FF5F893" w14:textId="77777777" w:rsidR="004241BA" w:rsidRPr="004241BA" w:rsidRDefault="004241BA">
            <w:pPr>
              <w:ind w:firstLineChars="100" w:firstLine="180"/>
              <w:rPr>
                <w:rFonts w:ascii="Arial" w:hAnsi="Arial" w:cs="Arial"/>
                <w:sz w:val="18"/>
                <w:szCs w:val="18"/>
                <w:lang w:val="en-US"/>
              </w:rPr>
            </w:pPr>
            <w:r w:rsidRPr="004241BA">
              <w:rPr>
                <w:rFonts w:ascii="Arial" w:hAnsi="Arial" w:cs="Arial"/>
                <w:sz w:val="18"/>
                <w:szCs w:val="18"/>
                <w:lang w:val="en-US"/>
              </w:rPr>
              <w:t>Persistent  Evolve Document Generator Per Named User 24X7 Term License/Maint</w:t>
            </w:r>
          </w:p>
        </w:tc>
        <w:tc>
          <w:tcPr>
            <w:tcW w:w="2236" w:type="dxa"/>
            <w:tcBorders>
              <w:top w:val="nil"/>
              <w:left w:val="nil"/>
              <w:bottom w:val="single" w:sz="4" w:space="0" w:color="auto"/>
              <w:right w:val="single" w:sz="4" w:space="0" w:color="auto"/>
            </w:tcBorders>
            <w:hideMark/>
          </w:tcPr>
          <w:p w14:paraId="4A4E133E" w14:textId="77777777" w:rsidR="004241BA" w:rsidRDefault="004241BA">
            <w:pPr>
              <w:ind w:firstLineChars="100" w:firstLine="180"/>
              <w:rPr>
                <w:rFonts w:ascii="Arial" w:hAnsi="Arial" w:cs="Arial"/>
                <w:color w:val="000000"/>
                <w:sz w:val="18"/>
                <w:szCs w:val="18"/>
              </w:rPr>
            </w:pPr>
            <w:r>
              <w:rPr>
                <w:rFonts w:ascii="Arial" w:hAnsi="Arial" w:cs="Arial"/>
                <w:sz w:val="18"/>
                <w:szCs w:val="18"/>
              </w:rPr>
              <w:t>AAJ-PSL-TB-247</w:t>
            </w:r>
          </w:p>
        </w:tc>
        <w:tc>
          <w:tcPr>
            <w:tcW w:w="1656" w:type="dxa"/>
            <w:tcBorders>
              <w:top w:val="nil"/>
              <w:left w:val="nil"/>
              <w:bottom w:val="single" w:sz="4" w:space="0" w:color="auto"/>
              <w:right w:val="single" w:sz="4" w:space="0" w:color="auto"/>
            </w:tcBorders>
            <w:hideMark/>
          </w:tcPr>
          <w:p w14:paraId="30450478"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w:t>
            </w:r>
          </w:p>
        </w:tc>
        <w:tc>
          <w:tcPr>
            <w:tcW w:w="1455" w:type="dxa"/>
            <w:tcBorders>
              <w:top w:val="nil"/>
              <w:left w:val="nil"/>
              <w:bottom w:val="single" w:sz="4" w:space="0" w:color="auto"/>
              <w:right w:val="single" w:sz="4" w:space="0" w:color="auto"/>
            </w:tcBorders>
            <w:hideMark/>
          </w:tcPr>
          <w:p w14:paraId="62C94C5A"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36</w:t>
            </w:r>
          </w:p>
        </w:tc>
      </w:tr>
      <w:tr w:rsidR="008E5411" w14:paraId="2AF5A9BB" w14:textId="77777777" w:rsidTr="004241BA">
        <w:trPr>
          <w:trHeight w:val="288"/>
        </w:trPr>
        <w:tc>
          <w:tcPr>
            <w:tcW w:w="3733" w:type="dxa"/>
            <w:tcBorders>
              <w:top w:val="nil"/>
              <w:left w:val="single" w:sz="4" w:space="0" w:color="auto"/>
              <w:bottom w:val="single" w:sz="4" w:space="0" w:color="auto"/>
              <w:right w:val="single" w:sz="4" w:space="0" w:color="auto"/>
            </w:tcBorders>
          </w:tcPr>
          <w:p w14:paraId="36A68711" w14:textId="2B28A105" w:rsidR="008E5411" w:rsidRPr="008E5411" w:rsidRDefault="008E5411" w:rsidP="008E5411">
            <w:pPr>
              <w:ind w:firstLineChars="100" w:firstLine="180"/>
              <w:rPr>
                <w:rFonts w:ascii="Arial" w:hAnsi="Arial" w:cs="Arial"/>
                <w:sz w:val="18"/>
                <w:szCs w:val="18"/>
                <w:lang w:val="en-US"/>
              </w:rPr>
            </w:pPr>
            <w:r w:rsidRPr="008E5411">
              <w:rPr>
                <w:rFonts w:ascii="Arial" w:hAnsi="Arial" w:cs="Arial"/>
                <w:sz w:val="18"/>
                <w:szCs w:val="18"/>
                <w:lang w:val="en-US"/>
              </w:rPr>
              <w:t>ER360 unlimited</w:t>
            </w:r>
          </w:p>
        </w:tc>
        <w:tc>
          <w:tcPr>
            <w:tcW w:w="2236" w:type="dxa"/>
            <w:tcBorders>
              <w:top w:val="nil"/>
              <w:left w:val="nil"/>
              <w:bottom w:val="single" w:sz="4" w:space="0" w:color="auto"/>
              <w:right w:val="single" w:sz="4" w:space="0" w:color="auto"/>
            </w:tcBorders>
          </w:tcPr>
          <w:p w14:paraId="2D985CB6" w14:textId="2AA2BFD2" w:rsidR="008E5411" w:rsidRPr="008E5411" w:rsidRDefault="008E5411" w:rsidP="008E5411">
            <w:pPr>
              <w:ind w:firstLineChars="100" w:firstLine="180"/>
              <w:rPr>
                <w:rFonts w:ascii="Arial" w:hAnsi="Arial" w:cs="Arial"/>
                <w:sz w:val="18"/>
                <w:szCs w:val="18"/>
                <w:lang w:val="en-US"/>
              </w:rPr>
            </w:pPr>
          </w:p>
        </w:tc>
        <w:tc>
          <w:tcPr>
            <w:tcW w:w="1656" w:type="dxa"/>
            <w:tcBorders>
              <w:top w:val="nil"/>
              <w:left w:val="nil"/>
              <w:bottom w:val="single" w:sz="4" w:space="0" w:color="auto"/>
              <w:right w:val="single" w:sz="4" w:space="0" w:color="auto"/>
            </w:tcBorders>
          </w:tcPr>
          <w:p w14:paraId="49297B2C" w14:textId="538F64DF" w:rsidR="008E5411" w:rsidRPr="008E5411" w:rsidRDefault="008E5411" w:rsidP="002A00AA">
            <w:pPr>
              <w:jc w:val="center"/>
              <w:rPr>
                <w:rFonts w:ascii="Arial" w:hAnsi="Arial" w:cs="Arial"/>
                <w:sz w:val="18"/>
                <w:szCs w:val="18"/>
                <w:lang w:val="en-US"/>
              </w:rPr>
            </w:pPr>
            <w:r>
              <w:rPr>
                <w:rFonts w:ascii="Arial" w:hAnsi="Arial" w:cs="Arial"/>
                <w:sz w:val="18"/>
                <w:szCs w:val="18"/>
                <w:lang w:val="en-US"/>
              </w:rPr>
              <w:t>2</w:t>
            </w:r>
          </w:p>
        </w:tc>
        <w:tc>
          <w:tcPr>
            <w:tcW w:w="1455" w:type="dxa"/>
            <w:tcBorders>
              <w:top w:val="nil"/>
              <w:left w:val="nil"/>
              <w:bottom w:val="single" w:sz="4" w:space="0" w:color="auto"/>
              <w:right w:val="single" w:sz="4" w:space="0" w:color="auto"/>
            </w:tcBorders>
          </w:tcPr>
          <w:p w14:paraId="576724A5" w14:textId="2C21023C" w:rsidR="008E5411" w:rsidRPr="008E5411" w:rsidRDefault="008E5411" w:rsidP="002A00AA">
            <w:pPr>
              <w:jc w:val="center"/>
              <w:rPr>
                <w:rFonts w:ascii="Arial" w:hAnsi="Arial" w:cs="Arial"/>
                <w:sz w:val="18"/>
                <w:szCs w:val="18"/>
                <w:lang w:val="en-US"/>
              </w:rPr>
            </w:pPr>
            <w:r>
              <w:rPr>
                <w:rFonts w:ascii="Arial" w:hAnsi="Arial" w:cs="Arial"/>
                <w:sz w:val="18"/>
                <w:szCs w:val="18"/>
                <w:lang w:val="en-US"/>
              </w:rPr>
              <w:t>36</w:t>
            </w:r>
          </w:p>
        </w:tc>
      </w:tr>
      <w:tr w:rsidR="00D87373" w14:paraId="224CD0C5" w14:textId="77777777" w:rsidTr="004241BA">
        <w:trPr>
          <w:trHeight w:val="288"/>
        </w:trPr>
        <w:tc>
          <w:tcPr>
            <w:tcW w:w="3733" w:type="dxa"/>
            <w:tcBorders>
              <w:top w:val="nil"/>
              <w:left w:val="single" w:sz="4" w:space="0" w:color="auto"/>
              <w:bottom w:val="single" w:sz="4" w:space="0" w:color="auto"/>
              <w:right w:val="single" w:sz="4" w:space="0" w:color="auto"/>
            </w:tcBorders>
          </w:tcPr>
          <w:p w14:paraId="2546F5A8" w14:textId="77777777" w:rsidR="00D87373" w:rsidRPr="00D87373" w:rsidRDefault="00D87373" w:rsidP="00D87373">
            <w:pPr>
              <w:ind w:firstLineChars="100" w:firstLine="180"/>
              <w:rPr>
                <w:rFonts w:ascii="Arial" w:hAnsi="Arial" w:cs="Arial"/>
                <w:sz w:val="18"/>
                <w:szCs w:val="18"/>
                <w:lang w:val="en-US"/>
              </w:rPr>
            </w:pPr>
            <w:r w:rsidRPr="00D87373">
              <w:rPr>
                <w:rFonts w:ascii="Arial" w:hAnsi="Arial" w:cs="Arial"/>
                <w:sz w:val="18"/>
                <w:szCs w:val="18"/>
                <w:lang w:val="en-US"/>
              </w:rPr>
              <w:t>Data Modeler wkgp</w:t>
            </w:r>
          </w:p>
          <w:p w14:paraId="71B77B63" w14:textId="6126DCD5" w:rsidR="00D87373" w:rsidRPr="008E5411" w:rsidRDefault="00D87373" w:rsidP="00D87373">
            <w:pPr>
              <w:ind w:firstLineChars="100" w:firstLine="180"/>
              <w:rPr>
                <w:rFonts w:ascii="Arial" w:hAnsi="Arial" w:cs="Arial"/>
                <w:sz w:val="18"/>
                <w:szCs w:val="18"/>
                <w:lang w:val="en-US"/>
              </w:rPr>
            </w:pPr>
            <w:r w:rsidRPr="00D87373">
              <w:rPr>
                <w:rFonts w:ascii="Arial" w:hAnsi="Arial" w:cs="Arial"/>
                <w:sz w:val="18"/>
                <w:szCs w:val="18"/>
                <w:lang w:val="en-US"/>
              </w:rPr>
              <w:t xml:space="preserve">concurrent </w:t>
            </w:r>
          </w:p>
        </w:tc>
        <w:tc>
          <w:tcPr>
            <w:tcW w:w="2236" w:type="dxa"/>
            <w:tcBorders>
              <w:top w:val="nil"/>
              <w:left w:val="nil"/>
              <w:bottom w:val="single" w:sz="4" w:space="0" w:color="auto"/>
              <w:right w:val="single" w:sz="4" w:space="0" w:color="auto"/>
            </w:tcBorders>
          </w:tcPr>
          <w:p w14:paraId="27056B18" w14:textId="77777777" w:rsidR="00D87373" w:rsidRPr="008E5411" w:rsidRDefault="00D87373" w:rsidP="008E5411">
            <w:pPr>
              <w:ind w:firstLineChars="100" w:firstLine="180"/>
              <w:rPr>
                <w:rFonts w:ascii="Arial" w:hAnsi="Arial" w:cs="Arial"/>
                <w:sz w:val="18"/>
                <w:szCs w:val="18"/>
                <w:lang w:val="en-US"/>
              </w:rPr>
            </w:pPr>
          </w:p>
        </w:tc>
        <w:tc>
          <w:tcPr>
            <w:tcW w:w="1656" w:type="dxa"/>
            <w:tcBorders>
              <w:top w:val="nil"/>
              <w:left w:val="nil"/>
              <w:bottom w:val="single" w:sz="4" w:space="0" w:color="auto"/>
              <w:right w:val="single" w:sz="4" w:space="0" w:color="auto"/>
            </w:tcBorders>
          </w:tcPr>
          <w:p w14:paraId="15EA4160" w14:textId="2AF2D0B0" w:rsidR="00D87373" w:rsidRDefault="00D87373" w:rsidP="002A00AA">
            <w:pPr>
              <w:jc w:val="center"/>
              <w:rPr>
                <w:rFonts w:ascii="Arial" w:hAnsi="Arial" w:cs="Arial"/>
                <w:sz w:val="18"/>
                <w:szCs w:val="18"/>
                <w:lang w:val="en-US"/>
              </w:rPr>
            </w:pPr>
            <w:r w:rsidRPr="00D87373">
              <w:rPr>
                <w:rFonts w:ascii="Arial" w:hAnsi="Arial" w:cs="Arial"/>
                <w:sz w:val="18"/>
                <w:szCs w:val="18"/>
                <w:lang w:val="en-US"/>
              </w:rPr>
              <w:t>10</w:t>
            </w:r>
          </w:p>
        </w:tc>
        <w:tc>
          <w:tcPr>
            <w:tcW w:w="1455" w:type="dxa"/>
            <w:tcBorders>
              <w:top w:val="nil"/>
              <w:left w:val="nil"/>
              <w:bottom w:val="single" w:sz="4" w:space="0" w:color="auto"/>
              <w:right w:val="single" w:sz="4" w:space="0" w:color="auto"/>
            </w:tcBorders>
          </w:tcPr>
          <w:p w14:paraId="56DAC88E" w14:textId="7785C3EB" w:rsidR="00D87373" w:rsidRDefault="00D87373" w:rsidP="002A00AA">
            <w:pPr>
              <w:jc w:val="center"/>
              <w:rPr>
                <w:rFonts w:ascii="Arial" w:hAnsi="Arial" w:cs="Arial"/>
                <w:sz w:val="18"/>
                <w:szCs w:val="18"/>
                <w:lang w:val="en-US"/>
              </w:rPr>
            </w:pPr>
            <w:r>
              <w:rPr>
                <w:rFonts w:ascii="Arial" w:hAnsi="Arial" w:cs="Arial"/>
                <w:sz w:val="18"/>
                <w:szCs w:val="18"/>
                <w:lang w:val="en-US"/>
              </w:rPr>
              <w:t>36</w:t>
            </w:r>
          </w:p>
        </w:tc>
      </w:tr>
      <w:tr w:rsidR="004241BA" w14:paraId="37F9AA1C" w14:textId="77777777" w:rsidTr="004241BA">
        <w:trPr>
          <w:trHeight w:val="288"/>
        </w:trPr>
        <w:tc>
          <w:tcPr>
            <w:tcW w:w="3733" w:type="dxa"/>
            <w:tcBorders>
              <w:top w:val="nil"/>
              <w:left w:val="single" w:sz="4" w:space="0" w:color="auto"/>
              <w:bottom w:val="single" w:sz="4" w:space="0" w:color="auto"/>
              <w:right w:val="single" w:sz="4" w:space="0" w:color="auto"/>
            </w:tcBorders>
            <w:hideMark/>
          </w:tcPr>
          <w:p w14:paraId="42A149C3" w14:textId="77777777" w:rsidR="004241BA" w:rsidRDefault="004241BA">
            <w:pPr>
              <w:ind w:firstLineChars="100" w:firstLine="180"/>
              <w:rPr>
                <w:rFonts w:ascii="Arial" w:hAnsi="Arial" w:cs="Arial"/>
                <w:color w:val="000000"/>
                <w:sz w:val="18"/>
                <w:szCs w:val="18"/>
              </w:rPr>
            </w:pPr>
            <w:r>
              <w:rPr>
                <w:rFonts w:ascii="Arial" w:hAnsi="Arial" w:cs="Arial"/>
                <w:sz w:val="18"/>
                <w:szCs w:val="18"/>
              </w:rPr>
              <w:t>Supporto Specialistico</w:t>
            </w:r>
          </w:p>
        </w:tc>
        <w:tc>
          <w:tcPr>
            <w:tcW w:w="2236" w:type="dxa"/>
            <w:tcBorders>
              <w:top w:val="nil"/>
              <w:left w:val="nil"/>
              <w:bottom w:val="single" w:sz="4" w:space="0" w:color="auto"/>
              <w:right w:val="single" w:sz="4" w:space="0" w:color="auto"/>
            </w:tcBorders>
            <w:hideMark/>
          </w:tcPr>
          <w:p w14:paraId="40979AAD" w14:textId="77777777" w:rsidR="004241BA" w:rsidRDefault="004241BA">
            <w:pPr>
              <w:ind w:firstLineChars="100" w:firstLine="180"/>
              <w:rPr>
                <w:rFonts w:ascii="Arial" w:hAnsi="Arial" w:cs="Arial"/>
                <w:color w:val="000000"/>
                <w:sz w:val="18"/>
                <w:szCs w:val="18"/>
              </w:rPr>
            </w:pPr>
            <w:r>
              <w:rPr>
                <w:rFonts w:ascii="Arial" w:hAnsi="Arial" w:cs="Arial"/>
                <w:color w:val="000000"/>
                <w:sz w:val="18"/>
                <w:szCs w:val="18"/>
              </w:rPr>
              <w:t> </w:t>
            </w:r>
          </w:p>
        </w:tc>
        <w:tc>
          <w:tcPr>
            <w:tcW w:w="1656" w:type="dxa"/>
            <w:tcBorders>
              <w:top w:val="nil"/>
              <w:left w:val="nil"/>
              <w:bottom w:val="single" w:sz="4" w:space="0" w:color="auto"/>
              <w:right w:val="single" w:sz="4" w:space="0" w:color="auto"/>
            </w:tcBorders>
            <w:hideMark/>
          </w:tcPr>
          <w:p w14:paraId="1315BAB6" w14:textId="38A5DC65" w:rsidR="004241BA" w:rsidRDefault="004241BA" w:rsidP="002A00AA">
            <w:pPr>
              <w:jc w:val="center"/>
              <w:rPr>
                <w:rFonts w:ascii="Arial" w:hAnsi="Arial" w:cs="Arial"/>
                <w:color w:val="000000"/>
                <w:sz w:val="18"/>
                <w:szCs w:val="18"/>
              </w:rPr>
            </w:pPr>
            <w:r>
              <w:rPr>
                <w:rFonts w:ascii="Arial" w:hAnsi="Arial" w:cs="Arial"/>
                <w:sz w:val="18"/>
                <w:szCs w:val="18"/>
              </w:rPr>
              <w:t>7</w:t>
            </w:r>
            <w:r w:rsidR="00D87373">
              <w:rPr>
                <w:rFonts w:ascii="Arial" w:hAnsi="Arial" w:cs="Arial"/>
                <w:sz w:val="18"/>
                <w:szCs w:val="18"/>
              </w:rPr>
              <w:t>3</w:t>
            </w:r>
            <w:r>
              <w:rPr>
                <w:rFonts w:ascii="Arial" w:hAnsi="Arial" w:cs="Arial"/>
                <w:sz w:val="18"/>
                <w:szCs w:val="18"/>
              </w:rPr>
              <w:t>0 gg</w:t>
            </w:r>
            <w:r w:rsidR="00C505D6">
              <w:rPr>
                <w:rFonts w:ascii="Arial" w:hAnsi="Arial" w:cs="Arial"/>
                <w:sz w:val="18"/>
                <w:szCs w:val="18"/>
              </w:rPr>
              <w:t>/pp</w:t>
            </w:r>
          </w:p>
        </w:tc>
        <w:tc>
          <w:tcPr>
            <w:tcW w:w="1455" w:type="dxa"/>
            <w:tcBorders>
              <w:top w:val="nil"/>
              <w:left w:val="nil"/>
              <w:bottom w:val="single" w:sz="4" w:space="0" w:color="auto"/>
              <w:right w:val="single" w:sz="4" w:space="0" w:color="auto"/>
            </w:tcBorders>
            <w:hideMark/>
          </w:tcPr>
          <w:p w14:paraId="43A8A61E" w14:textId="77777777" w:rsidR="004241BA" w:rsidRDefault="004241BA" w:rsidP="002A00AA">
            <w:pPr>
              <w:jc w:val="center"/>
              <w:rPr>
                <w:rFonts w:ascii="Arial" w:hAnsi="Arial" w:cs="Arial"/>
                <w:color w:val="000000"/>
                <w:sz w:val="18"/>
                <w:szCs w:val="18"/>
              </w:rPr>
            </w:pPr>
            <w:r>
              <w:rPr>
                <w:rFonts w:ascii="Arial" w:hAnsi="Arial" w:cs="Arial"/>
                <w:color w:val="000000"/>
                <w:sz w:val="18"/>
                <w:szCs w:val="18"/>
              </w:rPr>
              <w:t>36</w:t>
            </w:r>
          </w:p>
        </w:tc>
      </w:tr>
    </w:tbl>
    <w:p w14:paraId="755978FD" w14:textId="77777777" w:rsidR="004241BA" w:rsidRDefault="004241BA" w:rsidP="000C2F46">
      <w:pPr>
        <w:spacing w:line="276" w:lineRule="auto"/>
        <w:jc w:val="both"/>
        <w:rPr>
          <w:rFonts w:ascii="Arial" w:hAnsi="Arial" w:cs="Arial"/>
          <w:color w:val="0070C0"/>
          <w:sz w:val="20"/>
          <w:szCs w:val="20"/>
        </w:rPr>
      </w:pPr>
    </w:p>
    <w:p w14:paraId="522A2A4B" w14:textId="582CF4CD" w:rsidR="00FD0D3A" w:rsidRPr="00FD0D3A" w:rsidRDefault="00FD0D3A" w:rsidP="000C2F46">
      <w:pPr>
        <w:spacing w:line="276" w:lineRule="auto"/>
        <w:jc w:val="both"/>
        <w:rPr>
          <w:rFonts w:ascii="Arial" w:hAnsi="Arial" w:cs="Arial"/>
          <w:sz w:val="20"/>
          <w:szCs w:val="20"/>
        </w:rPr>
      </w:pPr>
      <w:r w:rsidRPr="00FD0D3A">
        <w:rPr>
          <w:rFonts w:ascii="Arial" w:hAnsi="Arial" w:cs="Arial"/>
          <w:sz w:val="20"/>
          <w:szCs w:val="20"/>
        </w:rPr>
        <w:t xml:space="preserve">Le figure professionali richieste per il servizio di supporto specialistico sono: </w:t>
      </w:r>
    </w:p>
    <w:p w14:paraId="6C6F658C" w14:textId="6D13D4AE" w:rsidR="00FD0D3A" w:rsidRPr="00FD0D3A" w:rsidRDefault="00FD0D3A" w:rsidP="00FD0D3A">
      <w:pPr>
        <w:pStyle w:val="Paragrafoelenco"/>
        <w:numPr>
          <w:ilvl w:val="0"/>
          <w:numId w:val="17"/>
        </w:numPr>
        <w:spacing w:line="276" w:lineRule="auto"/>
        <w:jc w:val="both"/>
        <w:rPr>
          <w:rFonts w:ascii="Arial" w:hAnsi="Arial" w:cs="Arial"/>
          <w:sz w:val="20"/>
          <w:szCs w:val="20"/>
        </w:rPr>
      </w:pPr>
      <w:r w:rsidRPr="00FD0D3A">
        <w:rPr>
          <w:rFonts w:ascii="Arial" w:hAnsi="Arial" w:cs="Arial"/>
          <w:sz w:val="20"/>
          <w:szCs w:val="20"/>
        </w:rPr>
        <w:t xml:space="preserve">Consulente di </w:t>
      </w:r>
      <w:r w:rsidR="00645A4A">
        <w:rPr>
          <w:rFonts w:ascii="Arial" w:hAnsi="Arial" w:cs="Arial"/>
          <w:sz w:val="20"/>
          <w:szCs w:val="20"/>
        </w:rPr>
        <w:t>b</w:t>
      </w:r>
      <w:r w:rsidRPr="00FD0D3A">
        <w:rPr>
          <w:rFonts w:ascii="Arial" w:hAnsi="Arial" w:cs="Arial"/>
          <w:sz w:val="20"/>
          <w:szCs w:val="20"/>
        </w:rPr>
        <w:t>usiness;</w:t>
      </w:r>
    </w:p>
    <w:p w14:paraId="257340C2" w14:textId="35AB90B8" w:rsidR="00FD0D3A" w:rsidRPr="00FD0D3A" w:rsidRDefault="00FD0D3A" w:rsidP="00FD0D3A">
      <w:pPr>
        <w:pStyle w:val="Paragrafoelenco"/>
        <w:numPr>
          <w:ilvl w:val="0"/>
          <w:numId w:val="17"/>
        </w:numPr>
        <w:spacing w:line="276" w:lineRule="auto"/>
        <w:jc w:val="both"/>
        <w:rPr>
          <w:rFonts w:ascii="Arial" w:hAnsi="Arial" w:cs="Arial"/>
          <w:sz w:val="20"/>
          <w:szCs w:val="20"/>
        </w:rPr>
      </w:pPr>
      <w:r w:rsidRPr="00FD0D3A">
        <w:rPr>
          <w:rFonts w:ascii="Arial" w:hAnsi="Arial" w:cs="Arial"/>
          <w:sz w:val="20"/>
          <w:szCs w:val="20"/>
        </w:rPr>
        <w:t>Specialista di prodotto senior;</w:t>
      </w:r>
    </w:p>
    <w:p w14:paraId="370B9A16" w14:textId="4FC78E51" w:rsidR="00FD0D3A" w:rsidRPr="00FD0D3A" w:rsidRDefault="00FD0D3A" w:rsidP="00FD0D3A">
      <w:pPr>
        <w:pStyle w:val="Paragrafoelenco"/>
        <w:numPr>
          <w:ilvl w:val="0"/>
          <w:numId w:val="17"/>
        </w:numPr>
        <w:spacing w:line="276" w:lineRule="auto"/>
        <w:jc w:val="both"/>
        <w:rPr>
          <w:rFonts w:ascii="Arial" w:hAnsi="Arial" w:cs="Arial"/>
          <w:sz w:val="20"/>
          <w:szCs w:val="20"/>
        </w:rPr>
      </w:pPr>
      <w:r w:rsidRPr="00FD0D3A">
        <w:rPr>
          <w:rFonts w:ascii="Arial" w:hAnsi="Arial" w:cs="Arial"/>
          <w:sz w:val="20"/>
          <w:szCs w:val="20"/>
        </w:rPr>
        <w:t>Specialista di prodotto.</w:t>
      </w:r>
    </w:p>
    <w:p w14:paraId="77C4B102" w14:textId="77777777" w:rsidR="00FD0D3A" w:rsidRPr="00FD0D3A" w:rsidRDefault="00FD0D3A" w:rsidP="00FD0D3A">
      <w:pPr>
        <w:pStyle w:val="Paragrafoelenco"/>
        <w:spacing w:line="276" w:lineRule="auto"/>
        <w:jc w:val="both"/>
        <w:rPr>
          <w:rFonts w:ascii="Arial" w:hAnsi="Arial" w:cs="Arial"/>
          <w:color w:val="0070C0"/>
          <w:sz w:val="20"/>
          <w:szCs w:val="20"/>
        </w:rPr>
      </w:pPr>
    </w:p>
    <w:p w14:paraId="0009D629" w14:textId="77777777" w:rsidR="00FD0D3A" w:rsidRDefault="00FD0D3A" w:rsidP="000C2F46">
      <w:pPr>
        <w:spacing w:line="276" w:lineRule="auto"/>
        <w:jc w:val="both"/>
        <w:rPr>
          <w:rFonts w:ascii="Arial" w:hAnsi="Arial" w:cs="Arial"/>
          <w:color w:val="0070C0"/>
          <w:sz w:val="20"/>
          <w:szCs w:val="20"/>
        </w:rPr>
      </w:pPr>
    </w:p>
    <w:p w14:paraId="53F31F95" w14:textId="13147BBC" w:rsidR="000C2F46" w:rsidRPr="00C505D6" w:rsidRDefault="004241BA" w:rsidP="000C2F46">
      <w:pPr>
        <w:spacing w:line="276" w:lineRule="auto"/>
        <w:rPr>
          <w:rFonts w:ascii="Arial" w:hAnsi="Arial" w:cs="Arial"/>
          <w:sz w:val="20"/>
          <w:szCs w:val="20"/>
        </w:rPr>
      </w:pPr>
      <w:r w:rsidRPr="00C505D6">
        <w:rPr>
          <w:rFonts w:ascii="Arial" w:hAnsi="Arial" w:cs="Arial"/>
          <w:sz w:val="20"/>
          <w:szCs w:val="20"/>
        </w:rPr>
        <w:t xml:space="preserve">Il costo totale dell’iniziativa è stato valutato non essere superiore a € </w:t>
      </w:r>
      <w:r w:rsidR="00D87373">
        <w:rPr>
          <w:rFonts w:ascii="Arial" w:hAnsi="Arial" w:cs="Arial"/>
          <w:sz w:val="20"/>
          <w:szCs w:val="20"/>
        </w:rPr>
        <w:t>2</w:t>
      </w:r>
      <w:r w:rsidRPr="00C505D6">
        <w:rPr>
          <w:rFonts w:ascii="Arial" w:hAnsi="Arial" w:cs="Arial"/>
          <w:sz w:val="20"/>
          <w:szCs w:val="20"/>
        </w:rPr>
        <w:t>.</w:t>
      </w:r>
      <w:r w:rsidR="00D87373">
        <w:rPr>
          <w:rFonts w:ascii="Arial" w:hAnsi="Arial" w:cs="Arial"/>
          <w:sz w:val="20"/>
          <w:szCs w:val="20"/>
        </w:rPr>
        <w:t>0</w:t>
      </w:r>
      <w:r w:rsidRPr="00C505D6">
        <w:rPr>
          <w:rFonts w:ascii="Arial" w:hAnsi="Arial" w:cs="Arial"/>
          <w:sz w:val="20"/>
          <w:szCs w:val="20"/>
        </w:rPr>
        <w:t>00.000,00 IVA esclusa per un periodo di tre</w:t>
      </w:r>
      <w:r w:rsidR="00E637C6">
        <w:rPr>
          <w:rFonts w:ascii="Arial" w:hAnsi="Arial" w:cs="Arial"/>
          <w:sz w:val="20"/>
          <w:szCs w:val="20"/>
        </w:rPr>
        <w:t>ntasei mesi</w:t>
      </w:r>
      <w:r w:rsidRPr="00C505D6">
        <w:rPr>
          <w:rFonts w:ascii="Arial" w:hAnsi="Arial" w:cs="Arial"/>
          <w:sz w:val="20"/>
          <w:szCs w:val="20"/>
        </w:rPr>
        <w:t>.</w:t>
      </w:r>
    </w:p>
    <w:p w14:paraId="7A540DBC" w14:textId="13C28D62" w:rsidR="00DC69C7" w:rsidRDefault="00DC69C7" w:rsidP="004241BA">
      <w:pPr>
        <w:spacing w:line="276" w:lineRule="auto"/>
        <w:rPr>
          <w:rFonts w:ascii="Arial" w:hAnsi="Arial" w:cs="Arial"/>
        </w:rPr>
      </w:pPr>
    </w:p>
    <w:p w14:paraId="47684379" w14:textId="77777777" w:rsidR="006771A7" w:rsidRDefault="006771A7" w:rsidP="004241BA">
      <w:pPr>
        <w:spacing w:line="276" w:lineRule="auto"/>
        <w:rPr>
          <w:rFonts w:ascii="Arial" w:hAnsi="Arial" w:cs="Arial"/>
        </w:rPr>
      </w:pPr>
    </w:p>
    <w:p w14:paraId="16ABC627" w14:textId="77777777" w:rsidR="006771A7" w:rsidRDefault="006771A7" w:rsidP="004241BA">
      <w:pPr>
        <w:spacing w:line="276" w:lineRule="auto"/>
        <w:rPr>
          <w:rFonts w:ascii="Arial" w:hAnsi="Arial" w:cs="Arial"/>
        </w:rPr>
      </w:pPr>
    </w:p>
    <w:p w14:paraId="0D4DB58D" w14:textId="77777777" w:rsidR="006771A7" w:rsidRDefault="006771A7" w:rsidP="004241BA">
      <w:pPr>
        <w:spacing w:line="276" w:lineRule="auto"/>
        <w:rPr>
          <w:rFonts w:ascii="Arial" w:hAnsi="Arial" w:cs="Arial"/>
        </w:rPr>
      </w:pPr>
    </w:p>
    <w:p w14:paraId="58CCD758" w14:textId="77777777" w:rsidR="006771A7" w:rsidRDefault="006771A7" w:rsidP="004241BA">
      <w:pPr>
        <w:spacing w:line="276" w:lineRule="auto"/>
        <w:rPr>
          <w:rFonts w:ascii="Arial" w:hAnsi="Arial" w:cs="Arial"/>
        </w:rPr>
      </w:pPr>
    </w:p>
    <w:p w14:paraId="2DE8A67A" w14:textId="77777777" w:rsidR="006771A7" w:rsidRPr="00170B9E" w:rsidRDefault="006771A7" w:rsidP="004241BA">
      <w:pPr>
        <w:spacing w:line="276" w:lineRule="auto"/>
        <w:rPr>
          <w:rFonts w:ascii="Arial" w:hAnsi="Arial" w:cs="Arial"/>
        </w:rPr>
      </w:pPr>
    </w:p>
    <w:p w14:paraId="059FEC52" w14:textId="77777777" w:rsidR="00DC69C7" w:rsidRPr="006771A7" w:rsidRDefault="00522FB0">
      <w:pPr>
        <w:pStyle w:val="Titolo1"/>
        <w:numPr>
          <w:ilvl w:val="0"/>
          <w:numId w:val="0"/>
        </w:numPr>
        <w:rPr>
          <w:rFonts w:eastAsiaTheme="majorEastAsia" w:cs="Arial"/>
          <w:b w:val="0"/>
          <w:color w:val="0070C0"/>
          <w:kern w:val="2"/>
          <w:sz w:val="28"/>
          <w:szCs w:val="28"/>
          <w:lang w:eastAsia="en-US"/>
          <w14:ligatures w14:val="standardContextual"/>
        </w:rPr>
      </w:pPr>
      <w:r w:rsidRPr="006771A7">
        <w:rPr>
          <w:rFonts w:eastAsiaTheme="majorEastAsia" w:cs="Arial"/>
          <w:b w:val="0"/>
          <w:color w:val="0070C0"/>
          <w:kern w:val="2"/>
          <w:sz w:val="28"/>
          <w:szCs w:val="28"/>
          <w:lang w:eastAsia="en-US"/>
          <w14:ligatures w14:val="standardContextual"/>
        </w:rPr>
        <w:t>Domande</w:t>
      </w:r>
    </w:p>
    <w:p w14:paraId="6339C58D" w14:textId="0968ED30" w:rsidR="00DC69C7" w:rsidRDefault="006771A7" w:rsidP="00381CEF">
      <w:pPr>
        <w:numPr>
          <w:ilvl w:val="0"/>
          <w:numId w:val="5"/>
        </w:numPr>
        <w:spacing w:after="120" w:line="276" w:lineRule="auto"/>
        <w:jc w:val="both"/>
        <w:rPr>
          <w:rFonts w:ascii="Arial" w:hAnsi="Arial" w:cs="Arial"/>
          <w:sz w:val="20"/>
          <w:szCs w:val="20"/>
        </w:rPr>
      </w:pPr>
      <w:r>
        <w:rPr>
          <w:rFonts w:ascii="Arial" w:hAnsi="Arial" w:cs="Arial"/>
          <w:sz w:val="20"/>
          <w:szCs w:val="20"/>
        </w:rPr>
        <w:t>Oltre a r</w:t>
      </w:r>
      <w:r w:rsidR="00522FB0" w:rsidRPr="00170B9E">
        <w:rPr>
          <w:rFonts w:ascii="Arial" w:hAnsi="Arial" w:cs="Arial"/>
          <w:sz w:val="20"/>
          <w:szCs w:val="20"/>
        </w:rPr>
        <w:t>iportare una breve descrizione dell’azienda</w:t>
      </w:r>
      <w:r>
        <w:rPr>
          <w:rFonts w:ascii="Arial" w:hAnsi="Arial" w:cs="Arial"/>
          <w:sz w:val="20"/>
          <w:szCs w:val="20"/>
        </w:rPr>
        <w:t>, compilare il prospetto sotto riportato</w:t>
      </w:r>
      <w:r w:rsidR="00381CEF">
        <w:rPr>
          <w:rFonts w:ascii="Arial" w:hAnsi="Arial" w:cs="Arial"/>
          <w:sz w:val="20"/>
          <w:szCs w:val="20"/>
        </w:rPr>
        <w:t>.</w:t>
      </w:r>
    </w:p>
    <w:tbl>
      <w:tblPr>
        <w:tblStyle w:val="Grigliatabella"/>
        <w:tblpPr w:leftFromText="141" w:rightFromText="141" w:vertAnchor="text" w:horzAnchor="margin" w:tblpY="-9"/>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771A7" w:rsidRPr="00170B9E" w14:paraId="507F688D" w14:textId="77777777" w:rsidTr="006771A7">
        <w:trPr>
          <w:trHeight w:val="1824"/>
        </w:trPr>
        <w:tc>
          <w:tcPr>
            <w:tcW w:w="8494" w:type="dxa"/>
            <w:shd w:val="clear" w:color="auto" w:fill="F2F2F2" w:themeFill="background1" w:themeFillShade="F2"/>
          </w:tcPr>
          <w:p w14:paraId="29FC5617" w14:textId="77777777" w:rsidR="006771A7" w:rsidRPr="00170B9E" w:rsidRDefault="006771A7" w:rsidP="006771A7">
            <w:pPr>
              <w:jc w:val="both"/>
              <w:rPr>
                <w:rFonts w:ascii="Arial" w:hAnsi="Arial" w:cs="Arial"/>
                <w:bCs/>
                <w:sz w:val="20"/>
                <w:szCs w:val="20"/>
              </w:rPr>
            </w:pPr>
          </w:p>
        </w:tc>
      </w:tr>
    </w:tbl>
    <w:p w14:paraId="77FFEDA5" w14:textId="77777777" w:rsidR="006771A7" w:rsidRDefault="006771A7" w:rsidP="006771A7">
      <w:pPr>
        <w:spacing w:after="120" w:line="276" w:lineRule="auto"/>
        <w:jc w:val="both"/>
        <w:rPr>
          <w:rFonts w:ascii="Arial" w:hAnsi="Arial" w:cs="Arial"/>
          <w:sz w:val="20"/>
          <w:szCs w:val="20"/>
        </w:rPr>
      </w:pPr>
    </w:p>
    <w:p w14:paraId="0F5E17FB" w14:textId="77777777" w:rsidR="006771A7" w:rsidRDefault="006771A7" w:rsidP="006771A7">
      <w:pPr>
        <w:spacing w:after="120" w:line="276" w:lineRule="auto"/>
        <w:jc w:val="both"/>
        <w:rPr>
          <w:rFonts w:ascii="Arial" w:hAnsi="Arial" w:cs="Arial"/>
          <w:sz w:val="20"/>
          <w:szCs w:val="20"/>
        </w:rPr>
      </w:pPr>
    </w:p>
    <w:tbl>
      <w:tblPr>
        <w:tblStyle w:val="Grigliatabellachiara"/>
        <w:tblpPr w:leftFromText="141" w:rightFromText="141" w:vertAnchor="page" w:horzAnchor="page" w:tblpX="1541" w:tblpY="6911"/>
        <w:tblW w:w="5921" w:type="pct"/>
        <w:tblLook w:val="04A0" w:firstRow="1" w:lastRow="0" w:firstColumn="1" w:lastColumn="0" w:noHBand="0" w:noVBand="1"/>
      </w:tblPr>
      <w:tblGrid>
        <w:gridCol w:w="2243"/>
        <w:gridCol w:w="1579"/>
        <w:gridCol w:w="1702"/>
        <w:gridCol w:w="1700"/>
        <w:gridCol w:w="2835"/>
      </w:tblGrid>
      <w:tr w:rsidR="006771A7" w:rsidRPr="00AE571D" w14:paraId="66A3B144" w14:textId="77777777" w:rsidTr="00D87373">
        <w:trPr>
          <w:cantSplit/>
          <w:tblHeader/>
        </w:trPr>
        <w:tc>
          <w:tcPr>
            <w:tcW w:w="1115" w:type="pct"/>
            <w:shd w:val="clear" w:color="auto" w:fill="F2F2F2" w:themeFill="background1" w:themeFillShade="F2"/>
            <w:vAlign w:val="center"/>
          </w:tcPr>
          <w:p w14:paraId="02A9B74A" w14:textId="77777777" w:rsidR="006771A7" w:rsidRPr="00AE571D" w:rsidRDefault="006771A7" w:rsidP="00D87373">
            <w:pPr>
              <w:spacing w:before="40" w:after="40"/>
              <w:jc w:val="both"/>
              <w:rPr>
                <w:rFonts w:ascii="Arial" w:hAnsi="Arial" w:cs="Arial"/>
                <w:b/>
                <w:bCs/>
                <w:color w:val="4A442A" w:themeColor="background2" w:themeShade="40"/>
                <w:sz w:val="18"/>
                <w:szCs w:val="18"/>
              </w:rPr>
            </w:pPr>
            <w:r w:rsidRPr="00AE571D">
              <w:rPr>
                <w:rFonts w:ascii="Arial" w:hAnsi="Arial" w:cs="Arial"/>
                <w:b/>
                <w:bCs/>
                <w:color w:val="4A442A" w:themeColor="background2" w:themeShade="40"/>
                <w:sz w:val="18"/>
                <w:szCs w:val="18"/>
              </w:rPr>
              <w:t>Ambito</w:t>
            </w:r>
          </w:p>
        </w:tc>
        <w:tc>
          <w:tcPr>
            <w:tcW w:w="3885" w:type="pct"/>
            <w:gridSpan w:val="4"/>
            <w:shd w:val="clear" w:color="auto" w:fill="F2F2F2" w:themeFill="background1" w:themeFillShade="F2"/>
            <w:vAlign w:val="center"/>
          </w:tcPr>
          <w:p w14:paraId="43E9425D" w14:textId="77777777" w:rsidR="006771A7" w:rsidRPr="00AE571D" w:rsidRDefault="006771A7" w:rsidP="00D87373">
            <w:pPr>
              <w:spacing w:before="40" w:after="40"/>
              <w:ind w:left="284"/>
              <w:jc w:val="both"/>
              <w:rPr>
                <w:rFonts w:ascii="Arial" w:hAnsi="Arial" w:cs="Arial"/>
                <w:b/>
                <w:bCs/>
                <w:color w:val="4A442A" w:themeColor="background2" w:themeShade="40"/>
                <w:sz w:val="18"/>
                <w:szCs w:val="18"/>
              </w:rPr>
            </w:pPr>
            <w:r w:rsidRPr="00AE571D">
              <w:rPr>
                <w:rFonts w:ascii="Arial" w:hAnsi="Arial" w:cs="Arial"/>
                <w:b/>
                <w:bCs/>
                <w:color w:val="4A442A" w:themeColor="background2" w:themeShade="40"/>
                <w:sz w:val="18"/>
                <w:szCs w:val="18"/>
              </w:rPr>
              <w:t>Risposta</w:t>
            </w:r>
          </w:p>
        </w:tc>
      </w:tr>
      <w:tr w:rsidR="006771A7" w:rsidRPr="00AE571D" w14:paraId="1B7D487C" w14:textId="77777777" w:rsidTr="00D87373">
        <w:trPr>
          <w:trHeight w:val="567"/>
        </w:trPr>
        <w:tc>
          <w:tcPr>
            <w:tcW w:w="1115" w:type="pct"/>
            <w:vAlign w:val="center"/>
          </w:tcPr>
          <w:p w14:paraId="30D4797C" w14:textId="77777777" w:rsidR="006771A7" w:rsidRPr="00AE571D" w:rsidRDefault="006771A7" w:rsidP="00D87373">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Settore di attività</w:t>
            </w:r>
          </w:p>
        </w:tc>
        <w:tc>
          <w:tcPr>
            <w:tcW w:w="3885" w:type="pct"/>
            <w:gridSpan w:val="4"/>
            <w:vAlign w:val="center"/>
          </w:tcPr>
          <w:p w14:paraId="62456695" w14:textId="77777777" w:rsidR="006771A7" w:rsidRPr="00AE571D" w:rsidRDefault="006771A7" w:rsidP="00D87373">
            <w:pPr>
              <w:spacing w:before="40" w:after="40"/>
              <w:jc w:val="center"/>
              <w:rPr>
                <w:rFonts w:ascii="Arial" w:hAnsi="Arial" w:cs="Arial"/>
                <w:color w:val="4A442A" w:themeColor="background2" w:themeShade="40"/>
                <w:sz w:val="18"/>
                <w:szCs w:val="18"/>
              </w:rPr>
            </w:pPr>
          </w:p>
        </w:tc>
      </w:tr>
      <w:tr w:rsidR="006771A7" w:rsidRPr="00AE571D" w14:paraId="6AA9794E" w14:textId="77777777" w:rsidTr="00D87373">
        <w:trPr>
          <w:trHeight w:val="567"/>
        </w:trPr>
        <w:tc>
          <w:tcPr>
            <w:tcW w:w="1115" w:type="pct"/>
            <w:vAlign w:val="center"/>
          </w:tcPr>
          <w:p w14:paraId="3052752B" w14:textId="77777777" w:rsidR="006771A7" w:rsidRPr="00AE571D" w:rsidRDefault="006771A7" w:rsidP="00D87373">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Codice ATECO</w:t>
            </w:r>
          </w:p>
        </w:tc>
        <w:tc>
          <w:tcPr>
            <w:tcW w:w="3885" w:type="pct"/>
            <w:gridSpan w:val="4"/>
            <w:vAlign w:val="center"/>
          </w:tcPr>
          <w:p w14:paraId="6665CE55" w14:textId="77777777" w:rsidR="006771A7" w:rsidRPr="00AE571D" w:rsidRDefault="006771A7" w:rsidP="00D87373">
            <w:pPr>
              <w:spacing w:before="40" w:after="40"/>
              <w:jc w:val="center"/>
              <w:rPr>
                <w:rFonts w:ascii="Arial" w:hAnsi="Arial" w:cs="Arial"/>
                <w:color w:val="4A442A" w:themeColor="background2" w:themeShade="40"/>
                <w:sz w:val="18"/>
                <w:szCs w:val="18"/>
              </w:rPr>
            </w:pPr>
          </w:p>
        </w:tc>
      </w:tr>
      <w:tr w:rsidR="006771A7" w:rsidRPr="00AE571D" w14:paraId="2E28BD43" w14:textId="77777777" w:rsidTr="00D87373">
        <w:trPr>
          <w:trHeight w:val="567"/>
        </w:trPr>
        <w:tc>
          <w:tcPr>
            <w:tcW w:w="1115" w:type="pct"/>
            <w:vAlign w:val="center"/>
          </w:tcPr>
          <w:p w14:paraId="029F8ACB" w14:textId="77777777" w:rsidR="006771A7" w:rsidRPr="00AE571D" w:rsidRDefault="006771A7" w:rsidP="00D87373">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Core business</w:t>
            </w:r>
          </w:p>
        </w:tc>
        <w:tc>
          <w:tcPr>
            <w:tcW w:w="3885" w:type="pct"/>
            <w:gridSpan w:val="4"/>
            <w:vAlign w:val="center"/>
          </w:tcPr>
          <w:p w14:paraId="3D9C3EF9" w14:textId="77777777" w:rsidR="006771A7" w:rsidRPr="00AE571D" w:rsidRDefault="006771A7" w:rsidP="00D87373">
            <w:pPr>
              <w:spacing w:before="40" w:after="40"/>
              <w:jc w:val="center"/>
              <w:rPr>
                <w:rFonts w:ascii="Arial" w:hAnsi="Arial" w:cs="Arial"/>
                <w:color w:val="4A442A" w:themeColor="background2" w:themeShade="40"/>
                <w:sz w:val="18"/>
                <w:szCs w:val="18"/>
              </w:rPr>
            </w:pPr>
          </w:p>
        </w:tc>
      </w:tr>
      <w:tr w:rsidR="006771A7" w:rsidRPr="00AE571D" w14:paraId="677A66F1" w14:textId="77777777" w:rsidTr="00D87373">
        <w:trPr>
          <w:trHeight w:val="567"/>
        </w:trPr>
        <w:tc>
          <w:tcPr>
            <w:tcW w:w="1115" w:type="pct"/>
            <w:vAlign w:val="center"/>
          </w:tcPr>
          <w:p w14:paraId="6BF185E9" w14:textId="77777777" w:rsidR="006771A7" w:rsidRPr="00AE571D" w:rsidRDefault="006771A7" w:rsidP="00D87373">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Dimensione impresa</w:t>
            </w:r>
          </w:p>
        </w:tc>
        <w:tc>
          <w:tcPr>
            <w:tcW w:w="785" w:type="pct"/>
            <w:vAlign w:val="center"/>
          </w:tcPr>
          <w:p w14:paraId="2BAB1BEE" w14:textId="77777777" w:rsidR="006771A7" w:rsidRPr="00AE571D" w:rsidRDefault="006771A7" w:rsidP="00D87373">
            <w:pPr>
              <w:pStyle w:val="Paragrafoelenco"/>
              <w:spacing w:before="40" w:after="40"/>
              <w:ind w:left="0"/>
              <w:contextualSpacing w:val="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micro</w:t>
            </w:r>
          </w:p>
        </w:tc>
        <w:tc>
          <w:tcPr>
            <w:tcW w:w="846" w:type="pct"/>
            <w:vAlign w:val="center"/>
          </w:tcPr>
          <w:p w14:paraId="5E5B3CAC" w14:textId="77777777" w:rsidR="006771A7" w:rsidRPr="00AE571D" w:rsidRDefault="006771A7" w:rsidP="00D87373">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piccola</w:t>
            </w:r>
          </w:p>
        </w:tc>
        <w:tc>
          <w:tcPr>
            <w:tcW w:w="845" w:type="pct"/>
            <w:vAlign w:val="center"/>
          </w:tcPr>
          <w:p w14:paraId="6D3369B3" w14:textId="77777777" w:rsidR="006771A7" w:rsidRPr="00AE571D" w:rsidRDefault="006771A7" w:rsidP="00D87373">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media</w:t>
            </w:r>
          </w:p>
        </w:tc>
        <w:tc>
          <w:tcPr>
            <w:tcW w:w="1409" w:type="pct"/>
            <w:vAlign w:val="center"/>
          </w:tcPr>
          <w:p w14:paraId="686AE259" w14:textId="77777777" w:rsidR="006771A7" w:rsidRPr="00AE571D" w:rsidRDefault="006771A7" w:rsidP="00D87373">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grande</w:t>
            </w:r>
          </w:p>
        </w:tc>
      </w:tr>
      <w:tr w:rsidR="006771A7" w:rsidRPr="00AE571D" w14:paraId="4D5F397D" w14:textId="77777777" w:rsidTr="00D87373">
        <w:trPr>
          <w:trHeight w:val="567"/>
        </w:trPr>
        <w:tc>
          <w:tcPr>
            <w:tcW w:w="1115" w:type="pct"/>
            <w:vAlign w:val="center"/>
          </w:tcPr>
          <w:p w14:paraId="5DCC19FE" w14:textId="77777777" w:rsidR="006771A7" w:rsidRPr="00AE571D" w:rsidRDefault="006771A7" w:rsidP="00D87373">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Personale</w:t>
            </w:r>
          </w:p>
        </w:tc>
        <w:tc>
          <w:tcPr>
            <w:tcW w:w="785" w:type="pct"/>
            <w:vAlign w:val="center"/>
          </w:tcPr>
          <w:p w14:paraId="7A0E1B6F" w14:textId="77777777" w:rsidR="006771A7" w:rsidRPr="00AE571D" w:rsidRDefault="006771A7" w:rsidP="00D87373">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n. dipendenti</w:t>
            </w:r>
          </w:p>
        </w:tc>
        <w:tc>
          <w:tcPr>
            <w:tcW w:w="846" w:type="pct"/>
            <w:vAlign w:val="center"/>
          </w:tcPr>
          <w:p w14:paraId="0A3F5C53" w14:textId="77777777" w:rsidR="006771A7" w:rsidRPr="00AE571D" w:rsidRDefault="006771A7" w:rsidP="00D87373">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donne</w:t>
            </w:r>
          </w:p>
        </w:tc>
        <w:tc>
          <w:tcPr>
            <w:tcW w:w="845" w:type="pct"/>
            <w:vAlign w:val="center"/>
          </w:tcPr>
          <w:p w14:paraId="3BC59E51" w14:textId="77777777" w:rsidR="006771A7" w:rsidRPr="00AE571D" w:rsidRDefault="006771A7" w:rsidP="00D87373">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giovani</w:t>
            </w:r>
          </w:p>
        </w:tc>
        <w:tc>
          <w:tcPr>
            <w:tcW w:w="1409" w:type="pct"/>
            <w:vAlign w:val="center"/>
          </w:tcPr>
          <w:p w14:paraId="27574BD0" w14:textId="77777777" w:rsidR="006771A7" w:rsidRPr="00AE571D" w:rsidRDefault="006771A7" w:rsidP="00D87373">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diversamente abili</w:t>
            </w:r>
          </w:p>
          <w:p w14:paraId="5B0441DA" w14:textId="77777777" w:rsidR="006771A7" w:rsidRPr="00AE571D" w:rsidRDefault="006771A7" w:rsidP="00D87373">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lavoratori svantaggiati</w:t>
            </w:r>
          </w:p>
        </w:tc>
      </w:tr>
      <w:tr w:rsidR="006771A7" w:rsidRPr="00AE571D" w14:paraId="2D58FD3E" w14:textId="77777777" w:rsidTr="00D87373">
        <w:trPr>
          <w:trHeight w:val="567"/>
        </w:trPr>
        <w:tc>
          <w:tcPr>
            <w:tcW w:w="1115" w:type="pct"/>
            <w:vAlign w:val="center"/>
          </w:tcPr>
          <w:p w14:paraId="592D3C76" w14:textId="77777777" w:rsidR="006771A7" w:rsidRPr="00AE571D" w:rsidRDefault="006771A7" w:rsidP="00D87373">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CCNL Applicato</w:t>
            </w:r>
          </w:p>
        </w:tc>
        <w:tc>
          <w:tcPr>
            <w:tcW w:w="3885" w:type="pct"/>
            <w:gridSpan w:val="4"/>
            <w:vAlign w:val="center"/>
          </w:tcPr>
          <w:p w14:paraId="377562B8" w14:textId="77777777" w:rsidR="006771A7" w:rsidRPr="00AE571D" w:rsidRDefault="006771A7" w:rsidP="00D87373">
            <w:pPr>
              <w:spacing w:before="40" w:after="40" w:line="288" w:lineRule="auto"/>
              <w:ind w:left="284"/>
              <w:jc w:val="center"/>
              <w:rPr>
                <w:rFonts w:ascii="Arial" w:hAnsi="Arial" w:cs="Arial"/>
                <w:bCs/>
                <w:sz w:val="18"/>
                <w:szCs w:val="18"/>
              </w:rPr>
            </w:pPr>
          </w:p>
        </w:tc>
      </w:tr>
      <w:tr w:rsidR="006771A7" w:rsidRPr="00AE571D" w14:paraId="5CD09B78" w14:textId="77777777" w:rsidTr="00D87373">
        <w:trPr>
          <w:trHeight w:val="567"/>
        </w:trPr>
        <w:tc>
          <w:tcPr>
            <w:tcW w:w="1115" w:type="pct"/>
            <w:vAlign w:val="center"/>
          </w:tcPr>
          <w:p w14:paraId="49F8098A" w14:textId="77777777" w:rsidR="006771A7" w:rsidRPr="00AE571D" w:rsidRDefault="006771A7" w:rsidP="00D87373">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Associazioni di categoria</w:t>
            </w:r>
          </w:p>
        </w:tc>
        <w:tc>
          <w:tcPr>
            <w:tcW w:w="3885" w:type="pct"/>
            <w:gridSpan w:val="4"/>
            <w:vAlign w:val="center"/>
          </w:tcPr>
          <w:p w14:paraId="4B92E10D" w14:textId="77777777" w:rsidR="006771A7" w:rsidRPr="00AE571D" w:rsidRDefault="006771A7" w:rsidP="00D87373">
            <w:pPr>
              <w:spacing w:before="40" w:after="40"/>
              <w:jc w:val="center"/>
              <w:rPr>
                <w:rFonts w:ascii="Arial" w:hAnsi="Arial" w:cs="Arial"/>
                <w:color w:val="4A442A" w:themeColor="background2" w:themeShade="40"/>
                <w:sz w:val="18"/>
                <w:szCs w:val="18"/>
              </w:rPr>
            </w:pPr>
          </w:p>
        </w:tc>
      </w:tr>
      <w:tr w:rsidR="006771A7" w:rsidRPr="00BD4FAB" w14:paraId="47A74BE0" w14:textId="77777777" w:rsidTr="00D87373">
        <w:trPr>
          <w:trHeight w:val="567"/>
        </w:trPr>
        <w:tc>
          <w:tcPr>
            <w:tcW w:w="3591" w:type="pct"/>
            <w:gridSpan w:val="4"/>
            <w:vAlign w:val="center"/>
          </w:tcPr>
          <w:p w14:paraId="49E92C13" w14:textId="77777777" w:rsidR="006771A7" w:rsidRPr="00BD4FAB" w:rsidRDefault="006771A7" w:rsidP="00D87373">
            <w:pPr>
              <w:spacing w:before="40" w:after="40"/>
              <w:rPr>
                <w:rFonts w:ascii="Arial" w:hAnsi="Arial" w:cs="Arial"/>
                <w:color w:val="4A442A" w:themeColor="background2" w:themeShade="40"/>
                <w:sz w:val="18"/>
                <w:szCs w:val="18"/>
              </w:rPr>
            </w:pPr>
            <w:r w:rsidRPr="00BD4FAB">
              <w:rPr>
                <w:rFonts w:ascii="Arial" w:hAnsi="Arial" w:cs="Arial"/>
                <w:color w:val="4A442A" w:themeColor="background2" w:themeShade="40"/>
                <w:sz w:val="18"/>
                <w:szCs w:val="18"/>
              </w:rPr>
              <w:t>Iscrizione alla sezione speciale del Registro Imprese dedicata alle Startup e PMI innovative</w:t>
            </w:r>
          </w:p>
        </w:tc>
        <w:tc>
          <w:tcPr>
            <w:tcW w:w="1409" w:type="pct"/>
            <w:vAlign w:val="center"/>
          </w:tcPr>
          <w:p w14:paraId="114CBACF" w14:textId="77777777" w:rsidR="006771A7" w:rsidRPr="00BD4FAB" w:rsidRDefault="006771A7" w:rsidP="00D87373">
            <w:pPr>
              <w:spacing w:before="40" w:after="40"/>
              <w:rPr>
                <w:rFonts w:ascii="Arial" w:hAnsi="Arial" w:cs="Arial"/>
                <w:color w:val="4A442A" w:themeColor="background2" w:themeShade="40"/>
                <w:sz w:val="18"/>
                <w:szCs w:val="18"/>
              </w:rPr>
            </w:pPr>
            <w:r w:rsidRPr="00BD4FAB">
              <w:rPr>
                <w:rFonts w:ascii="Arial" w:hAnsi="Arial" w:cs="Arial"/>
                <w:color w:val="4A442A" w:themeColor="background2" w:themeShade="40"/>
                <w:sz w:val="18"/>
                <w:szCs w:val="18"/>
              </w:rPr>
              <w:t xml:space="preserve">Si </w:t>
            </w:r>
            <w:r w:rsidRPr="00BD4FAB">
              <w:rPr>
                <w:rFonts w:ascii="Arial" w:hAnsi="Arial" w:cs="Arial"/>
                <w:color w:val="4A442A" w:themeColor="background2" w:themeShade="40"/>
                <w:sz w:val="18"/>
                <w:szCs w:val="18"/>
              </w:rPr>
              <w:t>No</w:t>
            </w:r>
          </w:p>
        </w:tc>
      </w:tr>
    </w:tbl>
    <w:p w14:paraId="0F6950F0" w14:textId="5C09AA52" w:rsidR="006771A7" w:rsidRPr="00170B9E" w:rsidRDefault="006771A7" w:rsidP="006771A7">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 xml:space="preserve">Riportare il fatturato globale realizzato </w:t>
      </w:r>
      <w:r w:rsidRPr="006771A7">
        <w:rPr>
          <w:rFonts w:ascii="Arial" w:hAnsi="Arial" w:cs="Arial"/>
          <w:sz w:val="20"/>
          <w:szCs w:val="20"/>
        </w:rPr>
        <w:t>nei migliori tre anni degli ultimi cinque anni solari</w:t>
      </w:r>
      <w:r>
        <w:rPr>
          <w:rFonts w:ascii="Arial" w:hAnsi="Arial" w:cs="Arial"/>
          <w:sz w:val="20"/>
          <w:szCs w:val="20"/>
        </w:rPr>
        <w:t xml:space="preserve"> alla data di compilazione della risposta.</w:t>
      </w:r>
      <w:r w:rsidRPr="00170B9E">
        <w:rPr>
          <w:rFonts w:ascii="Arial" w:hAnsi="Arial" w:cs="Arial"/>
          <w:sz w:val="20"/>
          <w:szCs w:val="20"/>
        </w:rPr>
        <w:t xml:space="preserve"> </w:t>
      </w:r>
    </w:p>
    <w:tbl>
      <w:tblPr>
        <w:tblStyle w:val="Grigliatabellachiara"/>
        <w:tblW w:w="5000" w:type="pct"/>
        <w:tblLook w:val="01E0" w:firstRow="1" w:lastRow="1" w:firstColumn="1" w:lastColumn="1" w:noHBand="0" w:noVBand="0"/>
      </w:tblPr>
      <w:tblGrid>
        <w:gridCol w:w="1347"/>
        <w:gridCol w:w="2237"/>
        <w:gridCol w:w="2236"/>
        <w:gridCol w:w="2674"/>
      </w:tblGrid>
      <w:tr w:rsidR="004F0F9C" w:rsidRPr="00AE571D" w14:paraId="337A9294" w14:textId="77777777" w:rsidTr="00A50DFE">
        <w:trPr>
          <w:cantSplit/>
          <w:tblHeader/>
        </w:trPr>
        <w:tc>
          <w:tcPr>
            <w:tcW w:w="793" w:type="pct"/>
            <w:vAlign w:val="center"/>
          </w:tcPr>
          <w:p w14:paraId="0172327D" w14:textId="77777777" w:rsidR="004F0F9C" w:rsidRPr="00AE571D" w:rsidRDefault="004F0F9C" w:rsidP="00A50DFE">
            <w:pPr>
              <w:spacing w:before="40" w:after="40"/>
              <w:jc w:val="both"/>
              <w:rPr>
                <w:rFonts w:ascii="Arial" w:hAnsi="Arial" w:cs="Arial"/>
                <w:b/>
                <w:sz w:val="18"/>
                <w:szCs w:val="18"/>
              </w:rPr>
            </w:pPr>
          </w:p>
        </w:tc>
        <w:tc>
          <w:tcPr>
            <w:tcW w:w="1317" w:type="pct"/>
            <w:shd w:val="clear" w:color="auto" w:fill="F2F2F2" w:themeFill="background1" w:themeFillShade="F2"/>
            <w:vAlign w:val="center"/>
          </w:tcPr>
          <w:p w14:paraId="15078987" w14:textId="77777777" w:rsidR="004F0F9C" w:rsidRPr="00AE571D" w:rsidRDefault="004F0F9C" w:rsidP="00A50DFE">
            <w:pPr>
              <w:spacing w:before="40" w:after="40"/>
              <w:jc w:val="center"/>
              <w:rPr>
                <w:rFonts w:ascii="Arial" w:hAnsi="Arial" w:cs="Arial"/>
                <w:b/>
                <w:sz w:val="18"/>
                <w:szCs w:val="18"/>
              </w:rPr>
            </w:pPr>
            <w:r w:rsidRPr="00AE571D">
              <w:rPr>
                <w:rFonts w:ascii="Arial" w:hAnsi="Arial" w:cs="Arial"/>
                <w:b/>
                <w:sz w:val="18"/>
                <w:szCs w:val="18"/>
              </w:rPr>
              <w:t>202_</w:t>
            </w:r>
          </w:p>
        </w:tc>
        <w:tc>
          <w:tcPr>
            <w:tcW w:w="1316" w:type="pct"/>
            <w:shd w:val="clear" w:color="auto" w:fill="F2F2F2" w:themeFill="background1" w:themeFillShade="F2"/>
            <w:vAlign w:val="center"/>
          </w:tcPr>
          <w:p w14:paraId="5D33C8A6" w14:textId="77777777" w:rsidR="004F0F9C" w:rsidRPr="00AE571D" w:rsidRDefault="004F0F9C" w:rsidP="00A50DFE">
            <w:pPr>
              <w:spacing w:before="40" w:after="40"/>
              <w:jc w:val="center"/>
              <w:rPr>
                <w:rFonts w:ascii="Arial" w:hAnsi="Arial" w:cs="Arial"/>
                <w:b/>
                <w:sz w:val="18"/>
                <w:szCs w:val="18"/>
              </w:rPr>
            </w:pPr>
            <w:r w:rsidRPr="00AE571D">
              <w:rPr>
                <w:rFonts w:ascii="Arial" w:hAnsi="Arial" w:cs="Arial"/>
                <w:b/>
                <w:sz w:val="18"/>
                <w:szCs w:val="18"/>
              </w:rPr>
              <w:t>202_</w:t>
            </w:r>
          </w:p>
        </w:tc>
        <w:tc>
          <w:tcPr>
            <w:tcW w:w="1574" w:type="pct"/>
            <w:shd w:val="clear" w:color="auto" w:fill="F2F2F2" w:themeFill="background1" w:themeFillShade="F2"/>
            <w:vAlign w:val="center"/>
          </w:tcPr>
          <w:p w14:paraId="26A56E06" w14:textId="77777777" w:rsidR="004F0F9C" w:rsidRPr="00AE571D" w:rsidRDefault="004F0F9C" w:rsidP="00A50DFE">
            <w:pPr>
              <w:spacing w:before="40" w:after="40"/>
              <w:jc w:val="center"/>
              <w:rPr>
                <w:rFonts w:ascii="Arial" w:hAnsi="Arial" w:cs="Arial"/>
                <w:b/>
                <w:sz w:val="18"/>
                <w:szCs w:val="18"/>
              </w:rPr>
            </w:pPr>
            <w:r w:rsidRPr="00AE571D">
              <w:rPr>
                <w:rFonts w:ascii="Arial" w:hAnsi="Arial" w:cs="Arial"/>
                <w:b/>
                <w:sz w:val="18"/>
                <w:szCs w:val="18"/>
              </w:rPr>
              <w:t>202_</w:t>
            </w:r>
          </w:p>
        </w:tc>
      </w:tr>
      <w:tr w:rsidR="004F0F9C" w:rsidRPr="00AE571D" w14:paraId="5D3DF358" w14:textId="77777777" w:rsidTr="00A50DFE">
        <w:trPr>
          <w:trHeight w:val="69"/>
        </w:trPr>
        <w:tc>
          <w:tcPr>
            <w:tcW w:w="793" w:type="pct"/>
            <w:vAlign w:val="center"/>
          </w:tcPr>
          <w:p w14:paraId="00560CAA" w14:textId="77777777" w:rsidR="004F0F9C" w:rsidRPr="00AE571D" w:rsidRDefault="004F0F9C" w:rsidP="00A50DFE">
            <w:pPr>
              <w:spacing w:before="40" w:after="40"/>
              <w:jc w:val="both"/>
              <w:rPr>
                <w:rFonts w:ascii="Arial" w:hAnsi="Arial" w:cs="Arial"/>
                <w:b/>
                <w:sz w:val="18"/>
                <w:szCs w:val="18"/>
              </w:rPr>
            </w:pPr>
            <w:r w:rsidRPr="00AE571D">
              <w:rPr>
                <w:rFonts w:ascii="Arial" w:hAnsi="Arial" w:cs="Arial"/>
                <w:b/>
                <w:sz w:val="18"/>
                <w:szCs w:val="18"/>
              </w:rPr>
              <w:t>Fatturato</w:t>
            </w:r>
          </w:p>
        </w:tc>
        <w:tc>
          <w:tcPr>
            <w:tcW w:w="1317" w:type="pct"/>
            <w:vAlign w:val="center"/>
          </w:tcPr>
          <w:p w14:paraId="00308185" w14:textId="77777777" w:rsidR="004F0F9C" w:rsidRPr="00AE571D" w:rsidRDefault="004F0F9C" w:rsidP="00A50DFE">
            <w:pPr>
              <w:spacing w:before="40" w:after="40"/>
              <w:jc w:val="both"/>
              <w:rPr>
                <w:rFonts w:ascii="Arial" w:hAnsi="Arial" w:cs="Arial"/>
                <w:sz w:val="18"/>
                <w:szCs w:val="18"/>
              </w:rPr>
            </w:pPr>
          </w:p>
        </w:tc>
        <w:tc>
          <w:tcPr>
            <w:tcW w:w="1316" w:type="pct"/>
            <w:vAlign w:val="center"/>
          </w:tcPr>
          <w:p w14:paraId="5FE581CA" w14:textId="77777777" w:rsidR="004F0F9C" w:rsidRPr="00AE571D" w:rsidRDefault="004F0F9C" w:rsidP="00A50DFE">
            <w:pPr>
              <w:spacing w:before="40" w:after="40"/>
              <w:jc w:val="both"/>
              <w:rPr>
                <w:rFonts w:ascii="Arial" w:hAnsi="Arial" w:cs="Arial"/>
                <w:sz w:val="18"/>
                <w:szCs w:val="18"/>
              </w:rPr>
            </w:pPr>
          </w:p>
        </w:tc>
        <w:tc>
          <w:tcPr>
            <w:tcW w:w="1574" w:type="pct"/>
            <w:vAlign w:val="center"/>
          </w:tcPr>
          <w:p w14:paraId="02B10C9F" w14:textId="77777777" w:rsidR="004F0F9C" w:rsidRPr="00AE571D" w:rsidRDefault="004F0F9C" w:rsidP="00A50DFE">
            <w:pPr>
              <w:spacing w:before="40" w:after="40"/>
              <w:jc w:val="both"/>
              <w:rPr>
                <w:rFonts w:ascii="Arial" w:hAnsi="Arial" w:cs="Arial"/>
                <w:sz w:val="18"/>
                <w:szCs w:val="18"/>
              </w:rPr>
            </w:pPr>
          </w:p>
        </w:tc>
      </w:tr>
    </w:tbl>
    <w:p w14:paraId="34CEED4B" w14:textId="77777777" w:rsidR="004F0F9C" w:rsidRPr="00170B9E" w:rsidRDefault="004F0F9C">
      <w:pPr>
        <w:spacing w:line="360" w:lineRule="auto"/>
        <w:jc w:val="both"/>
        <w:rPr>
          <w:rFonts w:ascii="Arial" w:hAnsi="Arial" w:cs="Arial"/>
          <w:sz w:val="20"/>
          <w:szCs w:val="20"/>
        </w:rPr>
      </w:pPr>
    </w:p>
    <w:p w14:paraId="49D0DF09" w14:textId="2F31D53B"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In relazione a quanto compreso nell’oggetto </w:t>
      </w:r>
      <w:r w:rsidRPr="00E637C6">
        <w:rPr>
          <w:rFonts w:ascii="Arial" w:hAnsi="Arial" w:cs="Arial"/>
          <w:sz w:val="20"/>
          <w:szCs w:val="20"/>
        </w:rPr>
        <w:t xml:space="preserve">dell’iniziativa </w:t>
      </w:r>
      <w:r w:rsidR="00E637C6" w:rsidRPr="00E637C6">
        <w:rPr>
          <w:rFonts w:ascii="Arial" w:hAnsi="Arial" w:cs="Arial"/>
          <w:sz w:val="20"/>
          <w:szCs w:val="20"/>
        </w:rPr>
        <w:t>per i prodotti software Erwin</w:t>
      </w:r>
      <w:r w:rsidRPr="00E637C6">
        <w:rPr>
          <w:rFonts w:ascii="Arial" w:hAnsi="Arial" w:cs="Arial"/>
          <w:sz w:val="20"/>
          <w:szCs w:val="20"/>
        </w:rPr>
        <w:t xml:space="preserve">, </w:t>
      </w:r>
      <w:r w:rsidRPr="00170B9E">
        <w:rPr>
          <w:rFonts w:ascii="Arial" w:hAnsi="Arial" w:cs="Arial"/>
          <w:sz w:val="20"/>
          <w:szCs w:val="20"/>
        </w:rPr>
        <w:t xml:space="preserve">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1370D8BD" w14:textId="77777777">
        <w:trPr>
          <w:trHeight w:val="1824"/>
        </w:trPr>
        <w:tc>
          <w:tcPr>
            <w:tcW w:w="8494" w:type="dxa"/>
            <w:shd w:val="clear" w:color="auto" w:fill="F2F2F2" w:themeFill="background1" w:themeFillShade="F2"/>
          </w:tcPr>
          <w:p w14:paraId="6D0928D8" w14:textId="77777777" w:rsidR="00DC69C7" w:rsidRPr="00170B9E" w:rsidRDefault="00DC69C7">
            <w:pPr>
              <w:jc w:val="both"/>
              <w:rPr>
                <w:rFonts w:ascii="Arial" w:hAnsi="Arial" w:cs="Arial"/>
                <w:bCs/>
                <w:sz w:val="20"/>
                <w:szCs w:val="20"/>
              </w:rPr>
            </w:pPr>
          </w:p>
        </w:tc>
      </w:tr>
    </w:tbl>
    <w:p w14:paraId="6B377E49" w14:textId="77777777" w:rsidR="00DC69C7" w:rsidRPr="00170B9E" w:rsidRDefault="00DC69C7">
      <w:pPr>
        <w:spacing w:line="360" w:lineRule="auto"/>
        <w:jc w:val="both"/>
        <w:rPr>
          <w:rFonts w:ascii="Arial" w:hAnsi="Arial" w:cs="Arial"/>
          <w:sz w:val="20"/>
          <w:szCs w:val="20"/>
        </w:rPr>
      </w:pPr>
    </w:p>
    <w:p w14:paraId="4AF49621" w14:textId="2E1B9AB9"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Specificare </w:t>
      </w:r>
      <w:r w:rsidRPr="00381CEF">
        <w:rPr>
          <w:rFonts w:ascii="Arial" w:hAnsi="Arial" w:cs="Arial"/>
          <w:sz w:val="20"/>
          <w:szCs w:val="20"/>
        </w:rPr>
        <w:t xml:space="preserve">se </w:t>
      </w:r>
      <w:r w:rsidR="00E637C6" w:rsidRPr="00381CEF">
        <w:rPr>
          <w:rFonts w:ascii="Arial" w:hAnsi="Arial" w:cs="Arial"/>
          <w:sz w:val="20"/>
          <w:szCs w:val="20"/>
        </w:rPr>
        <w:t xml:space="preserve">la commercializzazione delle licenze software Erwin </w:t>
      </w:r>
      <w:r w:rsidRPr="00381CEF">
        <w:rPr>
          <w:rFonts w:ascii="Arial" w:hAnsi="Arial" w:cs="Arial"/>
          <w:sz w:val="20"/>
          <w:szCs w:val="20"/>
        </w:rPr>
        <w:t xml:space="preserve">nella </w:t>
      </w:r>
      <w:r w:rsidRPr="00170B9E">
        <w:rPr>
          <w:rFonts w:ascii="Arial" w:hAnsi="Arial" w:cs="Arial"/>
          <w:sz w:val="20"/>
          <w:szCs w:val="20"/>
        </w:rPr>
        <w:t xml:space="preserve">modalità indicata, </w:t>
      </w:r>
      <w:r w:rsidR="006D1116">
        <w:rPr>
          <w:rFonts w:ascii="Arial" w:hAnsi="Arial" w:cs="Arial"/>
          <w:sz w:val="20"/>
          <w:szCs w:val="20"/>
        </w:rPr>
        <w:t xml:space="preserve">sia per l’Enterprise Architecture che per il Data Governance, </w:t>
      </w:r>
      <w:r w:rsidRPr="00170B9E">
        <w:rPr>
          <w:rFonts w:ascii="Arial" w:hAnsi="Arial" w:cs="Arial"/>
          <w:sz w:val="20"/>
          <w:szCs w:val="20"/>
        </w:rPr>
        <w:t>rientra nelle attività di fornitura della vostra azienda. Se sì, specificare se in virtù di diritti esclusivi, accordi commerciali</w:t>
      </w:r>
      <w:r w:rsidR="005A62A3">
        <w:rPr>
          <w:rFonts w:ascii="Arial" w:hAnsi="Arial" w:cs="Arial"/>
          <w:sz w:val="20"/>
          <w:szCs w:val="20"/>
        </w:rPr>
        <w:t>, partnership</w:t>
      </w:r>
      <w:r w:rsidRPr="00170B9E">
        <w:rPr>
          <w:rFonts w:ascii="Arial" w:hAnsi="Arial" w:cs="Arial"/>
          <w:sz w:val="20"/>
          <w:szCs w:val="20"/>
        </w:rPr>
        <w:t xml:space="preserve"> o altr</w:t>
      </w:r>
      <w:r w:rsidR="005A62A3">
        <w:rPr>
          <w:rFonts w:ascii="Arial" w:hAnsi="Arial" w:cs="Arial"/>
          <w:sz w:val="20"/>
          <w:szCs w:val="20"/>
        </w:rPr>
        <w:t>o</w:t>
      </w:r>
      <w:r w:rsidRPr="00170B9E">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6A3FAAB0" w14:textId="77777777">
        <w:trPr>
          <w:trHeight w:val="1824"/>
        </w:trPr>
        <w:tc>
          <w:tcPr>
            <w:tcW w:w="8494" w:type="dxa"/>
            <w:shd w:val="clear" w:color="auto" w:fill="F2F2F2" w:themeFill="background1" w:themeFillShade="F2"/>
          </w:tcPr>
          <w:p w14:paraId="24304123" w14:textId="77777777" w:rsidR="00DC69C7" w:rsidRPr="00170B9E" w:rsidRDefault="00DC69C7">
            <w:pPr>
              <w:jc w:val="both"/>
              <w:rPr>
                <w:rFonts w:ascii="Arial" w:hAnsi="Arial" w:cs="Arial"/>
                <w:bCs/>
                <w:sz w:val="20"/>
                <w:szCs w:val="20"/>
              </w:rPr>
            </w:pPr>
          </w:p>
        </w:tc>
      </w:tr>
    </w:tbl>
    <w:p w14:paraId="27840D03" w14:textId="77777777" w:rsidR="00DC69C7" w:rsidRPr="00170B9E" w:rsidRDefault="00DC69C7">
      <w:pPr>
        <w:jc w:val="both"/>
        <w:rPr>
          <w:rFonts w:ascii="Arial" w:hAnsi="Arial" w:cs="Arial"/>
          <w:sz w:val="20"/>
          <w:szCs w:val="20"/>
        </w:rPr>
      </w:pPr>
    </w:p>
    <w:p w14:paraId="68F9743E" w14:textId="568B64FB" w:rsidR="00E637C6" w:rsidRPr="00170B9E" w:rsidRDefault="00E637C6" w:rsidP="00E637C6">
      <w:pPr>
        <w:numPr>
          <w:ilvl w:val="0"/>
          <w:numId w:val="5"/>
        </w:numPr>
        <w:spacing w:after="120" w:line="276" w:lineRule="auto"/>
        <w:ind w:left="357" w:hanging="357"/>
        <w:jc w:val="both"/>
        <w:rPr>
          <w:rFonts w:ascii="Arial" w:hAnsi="Arial" w:cs="Arial"/>
          <w:sz w:val="20"/>
          <w:szCs w:val="20"/>
        </w:rPr>
      </w:pPr>
      <w:r w:rsidRPr="00371650">
        <w:rPr>
          <w:rFonts w:ascii="Arial" w:hAnsi="Arial" w:cs="Arial"/>
          <w:sz w:val="20"/>
          <w:szCs w:val="20"/>
        </w:rPr>
        <w:t xml:space="preserve">Specificare se l’erogazione di servizi di supporto specialistico aventi ad oggetto prodotti software Erwin nella modalità </w:t>
      </w:r>
      <w:r w:rsidRPr="00170B9E">
        <w:rPr>
          <w:rFonts w:ascii="Arial" w:hAnsi="Arial" w:cs="Arial"/>
          <w:sz w:val="20"/>
          <w:szCs w:val="20"/>
        </w:rPr>
        <w:t>indicata,</w:t>
      </w:r>
      <w:r w:rsidR="006D1116">
        <w:rPr>
          <w:rFonts w:ascii="Arial" w:hAnsi="Arial" w:cs="Arial"/>
          <w:sz w:val="20"/>
          <w:szCs w:val="20"/>
        </w:rPr>
        <w:t xml:space="preserve"> sia per l’Enterprise Architecture che per il Data Governance,</w:t>
      </w:r>
      <w:r w:rsidRPr="00170B9E">
        <w:rPr>
          <w:rFonts w:ascii="Arial" w:hAnsi="Arial" w:cs="Arial"/>
          <w:sz w:val="20"/>
          <w:szCs w:val="20"/>
        </w:rPr>
        <w:t xml:space="preserve"> rientra nelle attività di fornitura della vostra azienda. Se sì, </w:t>
      </w:r>
      <w:r w:rsidR="005A62A3">
        <w:rPr>
          <w:rFonts w:ascii="Arial" w:hAnsi="Arial" w:cs="Arial"/>
          <w:sz w:val="20"/>
          <w:szCs w:val="20"/>
        </w:rPr>
        <w:t xml:space="preserve">oltre a indicare il numero delle diverse figure professionali e se in possesso di certificazione riconosciuta dal produttore, </w:t>
      </w:r>
      <w:r w:rsidRPr="00170B9E">
        <w:rPr>
          <w:rFonts w:ascii="Arial" w:hAnsi="Arial" w:cs="Arial"/>
          <w:sz w:val="20"/>
          <w:szCs w:val="20"/>
        </w:rPr>
        <w:t>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637C6" w:rsidRPr="00170B9E" w14:paraId="61C97DBE" w14:textId="77777777" w:rsidTr="00013C82">
        <w:trPr>
          <w:trHeight w:val="1824"/>
        </w:trPr>
        <w:tc>
          <w:tcPr>
            <w:tcW w:w="8494" w:type="dxa"/>
            <w:shd w:val="clear" w:color="auto" w:fill="F2F2F2" w:themeFill="background1" w:themeFillShade="F2"/>
          </w:tcPr>
          <w:p w14:paraId="44ED61B0" w14:textId="77777777" w:rsidR="00E637C6" w:rsidRPr="00170B9E" w:rsidRDefault="00E637C6" w:rsidP="00013C82">
            <w:pPr>
              <w:jc w:val="both"/>
              <w:rPr>
                <w:rFonts w:ascii="Arial" w:hAnsi="Arial" w:cs="Arial"/>
                <w:bCs/>
                <w:sz w:val="20"/>
                <w:szCs w:val="20"/>
              </w:rPr>
            </w:pPr>
          </w:p>
        </w:tc>
      </w:tr>
    </w:tbl>
    <w:p w14:paraId="5D15B197" w14:textId="77777777" w:rsidR="0059214D" w:rsidRPr="0059214D" w:rsidRDefault="0059214D" w:rsidP="0059214D">
      <w:pPr>
        <w:jc w:val="both"/>
        <w:rPr>
          <w:rFonts w:ascii="Arial" w:hAnsi="Arial" w:cs="Arial"/>
          <w:color w:val="4A442A" w:themeColor="background2" w:themeShade="40"/>
          <w:sz w:val="20"/>
          <w:szCs w:val="20"/>
        </w:rPr>
      </w:pPr>
    </w:p>
    <w:p w14:paraId="30392473" w14:textId="42A6C275" w:rsidR="0059214D" w:rsidRPr="004F0F9C" w:rsidRDefault="0059214D" w:rsidP="0059214D">
      <w:pPr>
        <w:pStyle w:val="Paragrafoelenco"/>
        <w:numPr>
          <w:ilvl w:val="0"/>
          <w:numId w:val="5"/>
        </w:numPr>
        <w:jc w:val="both"/>
        <w:rPr>
          <w:rFonts w:ascii="Arial" w:hAnsi="Arial" w:cs="Arial"/>
          <w:color w:val="4A442A" w:themeColor="background2" w:themeShade="40"/>
          <w:sz w:val="20"/>
          <w:szCs w:val="20"/>
        </w:rPr>
      </w:pPr>
      <w:r w:rsidRPr="004F0F9C">
        <w:rPr>
          <w:rFonts w:ascii="Arial" w:hAnsi="Arial" w:cs="Arial"/>
          <w:color w:val="4A442A" w:themeColor="background2" w:themeShade="40"/>
          <w:sz w:val="20"/>
          <w:szCs w:val="20"/>
        </w:rPr>
        <w:t xml:space="preserve">Siete in possesso della certificazione </w:t>
      </w:r>
      <w:r w:rsidR="00D87373" w:rsidRPr="00D87373">
        <w:rPr>
          <w:rFonts w:ascii="Arial" w:hAnsi="Arial" w:cs="Arial"/>
          <w:color w:val="4A442A" w:themeColor="background2" w:themeShade="40"/>
          <w:sz w:val="20"/>
          <w:szCs w:val="20"/>
        </w:rPr>
        <w:t>UNI EN ISO 9001:2015</w:t>
      </w:r>
      <w:r w:rsidRPr="004F0F9C">
        <w:rPr>
          <w:rFonts w:ascii="Arial" w:hAnsi="Arial" w:cs="Arial"/>
          <w:color w:val="4A442A" w:themeColor="background2" w:themeShade="40"/>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9214D" w:rsidRPr="004F0F9C" w14:paraId="51E9C35E" w14:textId="77777777" w:rsidTr="00A50DFE">
        <w:trPr>
          <w:trHeight w:val="1106"/>
        </w:trPr>
        <w:tc>
          <w:tcPr>
            <w:tcW w:w="8494" w:type="dxa"/>
            <w:shd w:val="clear" w:color="auto" w:fill="F2F2F2" w:themeFill="background1" w:themeFillShade="F2"/>
          </w:tcPr>
          <w:p w14:paraId="1B38177C" w14:textId="77777777" w:rsidR="0059214D" w:rsidRPr="004F0F9C" w:rsidRDefault="0059214D" w:rsidP="00A50DFE">
            <w:pPr>
              <w:jc w:val="both"/>
              <w:rPr>
                <w:rFonts w:ascii="Arial" w:hAnsi="Arial" w:cs="Arial"/>
                <w:bCs/>
                <w:sz w:val="20"/>
                <w:szCs w:val="20"/>
              </w:rPr>
            </w:pPr>
          </w:p>
        </w:tc>
      </w:tr>
    </w:tbl>
    <w:p w14:paraId="6B9EE5F0" w14:textId="77777777" w:rsidR="00D87373" w:rsidRPr="0059214D" w:rsidRDefault="00D87373" w:rsidP="00D87373">
      <w:pPr>
        <w:jc w:val="both"/>
        <w:rPr>
          <w:rFonts w:ascii="Arial" w:hAnsi="Arial" w:cs="Arial"/>
          <w:color w:val="4A442A" w:themeColor="background2" w:themeShade="40"/>
          <w:sz w:val="20"/>
          <w:szCs w:val="20"/>
        </w:rPr>
      </w:pPr>
    </w:p>
    <w:p w14:paraId="49E80792" w14:textId="77777777" w:rsidR="00D87373" w:rsidRPr="004F0F9C" w:rsidRDefault="00D87373" w:rsidP="00D87373">
      <w:pPr>
        <w:pStyle w:val="Paragrafoelenco"/>
        <w:numPr>
          <w:ilvl w:val="0"/>
          <w:numId w:val="5"/>
        </w:numPr>
        <w:jc w:val="both"/>
        <w:rPr>
          <w:rFonts w:ascii="Arial" w:hAnsi="Arial" w:cs="Arial"/>
          <w:color w:val="4A442A" w:themeColor="background2" w:themeShade="40"/>
          <w:sz w:val="20"/>
          <w:szCs w:val="20"/>
        </w:rPr>
      </w:pPr>
      <w:r w:rsidRPr="004F0F9C">
        <w:rPr>
          <w:rFonts w:ascii="Arial" w:hAnsi="Arial" w:cs="Arial"/>
          <w:color w:val="4A442A" w:themeColor="background2" w:themeShade="40"/>
          <w:sz w:val="20"/>
          <w:szCs w:val="20"/>
        </w:rPr>
        <w:t>Siete in possesso della certificazione UNI/PDR 125:2022 in tema di parità di genere?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87373" w:rsidRPr="004F0F9C" w14:paraId="2D13CB27" w14:textId="77777777" w:rsidTr="00B0021D">
        <w:trPr>
          <w:trHeight w:val="1106"/>
        </w:trPr>
        <w:tc>
          <w:tcPr>
            <w:tcW w:w="8494" w:type="dxa"/>
            <w:shd w:val="clear" w:color="auto" w:fill="F2F2F2" w:themeFill="background1" w:themeFillShade="F2"/>
          </w:tcPr>
          <w:p w14:paraId="65774EB8" w14:textId="77777777" w:rsidR="00D87373" w:rsidRPr="004F0F9C" w:rsidRDefault="00D87373" w:rsidP="00B0021D">
            <w:pPr>
              <w:jc w:val="both"/>
              <w:rPr>
                <w:rFonts w:ascii="Arial" w:hAnsi="Arial" w:cs="Arial"/>
                <w:bCs/>
                <w:sz w:val="20"/>
                <w:szCs w:val="20"/>
              </w:rPr>
            </w:pPr>
          </w:p>
        </w:tc>
      </w:tr>
    </w:tbl>
    <w:p w14:paraId="6B6556A1" w14:textId="77777777" w:rsidR="00D87373" w:rsidRDefault="00D87373" w:rsidP="00D87373">
      <w:pPr>
        <w:pStyle w:val="BodyText21"/>
        <w:spacing w:line="276" w:lineRule="auto"/>
        <w:rPr>
          <w:rFonts w:ascii="Arial" w:hAnsi="Arial" w:cs="Arial"/>
          <w:sz w:val="20"/>
          <w:szCs w:val="20"/>
        </w:rPr>
      </w:pPr>
    </w:p>
    <w:p w14:paraId="621DE723" w14:textId="77777777" w:rsidR="0059214D" w:rsidRDefault="0059214D" w:rsidP="0059214D">
      <w:pPr>
        <w:pStyle w:val="BodyText21"/>
        <w:spacing w:line="276" w:lineRule="auto"/>
        <w:rPr>
          <w:rFonts w:ascii="Arial" w:hAnsi="Arial" w:cs="Arial"/>
          <w:sz w:val="20"/>
          <w:szCs w:val="20"/>
        </w:rPr>
      </w:pPr>
    </w:p>
    <w:p w14:paraId="0FF3F539" w14:textId="5560154C" w:rsidR="00DC69C7" w:rsidRPr="00D44008" w:rsidRDefault="0059214D">
      <w:pPr>
        <w:pStyle w:val="BodyText21"/>
        <w:numPr>
          <w:ilvl w:val="0"/>
          <w:numId w:val="5"/>
        </w:numPr>
        <w:spacing w:line="276" w:lineRule="auto"/>
        <w:ind w:left="298" w:hangingChars="149" w:hanging="298"/>
        <w:rPr>
          <w:rFonts w:ascii="Arial" w:hAnsi="Arial" w:cs="Arial"/>
          <w:sz w:val="20"/>
          <w:szCs w:val="20"/>
        </w:rPr>
      </w:pPr>
      <w:r>
        <w:rPr>
          <w:rFonts w:ascii="Arial" w:hAnsi="Arial" w:cs="Arial"/>
          <w:sz w:val="20"/>
          <w:szCs w:val="20"/>
        </w:rPr>
        <w:lastRenderedPageBreak/>
        <w:t>S</w:t>
      </w:r>
      <w:r w:rsidR="00522FB0" w:rsidRPr="00D44008">
        <w:rPr>
          <w:rFonts w:ascii="Arial" w:hAnsi="Arial" w:cs="Arial"/>
          <w:sz w:val="20"/>
          <w:szCs w:val="20"/>
        </w:rPr>
        <w:t>i chiede di precisare, con riferimento alle risorse di norma impiegate, da parte della vostra azienda, nell’erogazione di servizi della medesima tipologia di quelli descritti nel presente documento:</w:t>
      </w:r>
    </w:p>
    <w:p w14:paraId="0809AD20" w14:textId="77777777" w:rsidR="00DC69C7" w:rsidRPr="00170B9E" w:rsidRDefault="00522FB0" w:rsidP="00371650">
      <w:pPr>
        <w:pStyle w:val="Paragrafoelenco"/>
        <w:numPr>
          <w:ilvl w:val="0"/>
          <w:numId w:val="6"/>
        </w:numPr>
        <w:spacing w:line="276" w:lineRule="auto"/>
        <w:ind w:leftChars="112" w:left="567" w:hangingChars="149" w:hanging="298"/>
        <w:jc w:val="both"/>
        <w:rPr>
          <w:rFonts w:ascii="Arial" w:hAnsi="Arial" w:cs="Arial"/>
          <w:sz w:val="20"/>
          <w:szCs w:val="20"/>
        </w:rPr>
      </w:pPr>
      <w:r w:rsidRPr="00170B9E">
        <w:rPr>
          <w:rFonts w:ascii="Arial" w:hAnsi="Arial" w:cs="Arial"/>
          <w:sz w:val="20"/>
          <w:szCs w:val="20"/>
        </w:rPr>
        <w:t>il/i livello/i di inquadramento;</w:t>
      </w:r>
    </w:p>
    <w:p w14:paraId="76436C07" w14:textId="77777777" w:rsidR="00DC69C7" w:rsidRPr="00170B9E" w:rsidRDefault="00522FB0" w:rsidP="00371650">
      <w:pPr>
        <w:pStyle w:val="Paragrafoelenco"/>
        <w:numPr>
          <w:ilvl w:val="0"/>
          <w:numId w:val="6"/>
        </w:numPr>
        <w:spacing w:line="276" w:lineRule="auto"/>
        <w:ind w:leftChars="112" w:left="567" w:hangingChars="149" w:hanging="298"/>
        <w:jc w:val="both"/>
        <w:rPr>
          <w:rFonts w:ascii="Arial" w:hAnsi="Arial" w:cs="Arial"/>
          <w:sz w:val="20"/>
          <w:szCs w:val="20"/>
        </w:rPr>
      </w:pPr>
      <w:r w:rsidRPr="00170B9E">
        <w:rPr>
          <w:rFonts w:ascii="Arial" w:hAnsi="Arial" w:cs="Arial"/>
          <w:sz w:val="20"/>
          <w:szCs w:val="20"/>
        </w:rPr>
        <w:t>l’anzianità di servizio;</w:t>
      </w:r>
    </w:p>
    <w:p w14:paraId="13944CB8" w14:textId="77777777" w:rsidR="00DC69C7" w:rsidRPr="00170B9E" w:rsidRDefault="00522FB0" w:rsidP="00371650">
      <w:pPr>
        <w:pStyle w:val="Paragrafoelenco"/>
        <w:numPr>
          <w:ilvl w:val="0"/>
          <w:numId w:val="6"/>
        </w:numPr>
        <w:spacing w:line="276" w:lineRule="auto"/>
        <w:ind w:leftChars="112" w:left="567" w:hangingChars="149" w:hanging="298"/>
        <w:jc w:val="both"/>
        <w:rPr>
          <w:rFonts w:ascii="Arial" w:hAnsi="Arial" w:cs="Arial"/>
          <w:sz w:val="20"/>
          <w:szCs w:val="20"/>
        </w:rPr>
      </w:pPr>
      <w:r w:rsidRPr="00170B9E">
        <w:rPr>
          <w:rFonts w:ascii="Arial" w:hAnsi="Arial" w:cs="Arial"/>
          <w:sz w:val="20"/>
          <w:szCs w:val="20"/>
        </w:rPr>
        <w:t>le retribuzioni medie e/o (per esempio in caso di incarichi di lavoro autonomo a partita IVA) i compensi medi, corrisposti per ciascuna figura professionale.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50B9A0C" w14:textId="77777777">
        <w:trPr>
          <w:trHeight w:val="1106"/>
        </w:trPr>
        <w:tc>
          <w:tcPr>
            <w:tcW w:w="8494" w:type="dxa"/>
            <w:shd w:val="clear" w:color="auto" w:fill="F2F2F2" w:themeFill="background1" w:themeFillShade="F2"/>
          </w:tcPr>
          <w:p w14:paraId="3B4FF234" w14:textId="77777777" w:rsidR="00DC69C7" w:rsidRPr="00170B9E" w:rsidRDefault="00DC69C7">
            <w:pPr>
              <w:jc w:val="both"/>
              <w:rPr>
                <w:rFonts w:ascii="Arial" w:hAnsi="Arial" w:cs="Arial"/>
                <w:bCs/>
                <w:sz w:val="20"/>
                <w:szCs w:val="20"/>
              </w:rPr>
            </w:pPr>
          </w:p>
        </w:tc>
      </w:tr>
    </w:tbl>
    <w:p w14:paraId="29217A14" w14:textId="77777777" w:rsidR="00DC69C7" w:rsidRPr="00170B9E" w:rsidRDefault="00DC69C7">
      <w:pPr>
        <w:jc w:val="both"/>
        <w:rPr>
          <w:rFonts w:ascii="Arial" w:hAnsi="Arial" w:cs="Arial"/>
          <w:sz w:val="20"/>
          <w:szCs w:val="20"/>
        </w:rPr>
      </w:pPr>
    </w:p>
    <w:p w14:paraId="0A81FACD" w14:textId="700F22D1" w:rsidR="00D44008" w:rsidRPr="00924383" w:rsidRDefault="00D44008" w:rsidP="00924383">
      <w:pPr>
        <w:pStyle w:val="BodyText21"/>
        <w:numPr>
          <w:ilvl w:val="0"/>
          <w:numId w:val="5"/>
        </w:numPr>
        <w:spacing w:line="276" w:lineRule="auto"/>
        <w:ind w:left="298" w:hangingChars="149" w:hanging="298"/>
        <w:rPr>
          <w:rFonts w:ascii="Arial" w:hAnsi="Arial" w:cs="Arial"/>
          <w:sz w:val="20"/>
          <w:szCs w:val="20"/>
        </w:rPr>
      </w:pPr>
      <w:r w:rsidRPr="00924383">
        <w:rPr>
          <w:rFonts w:ascii="Arial" w:hAnsi="Arial" w:cs="Arial"/>
          <w:sz w:val="20"/>
          <w:szCs w:val="20"/>
        </w:rPr>
        <w:t xml:space="preserve">Con riferimento all'organizzazione del personale dedicato alle attività di supporto specialistico oggetto della presente iniziativa, si chiede di </w:t>
      </w:r>
      <w:r w:rsidR="00924383" w:rsidRPr="00924383">
        <w:rPr>
          <w:rFonts w:ascii="Arial" w:hAnsi="Arial" w:cs="Arial"/>
          <w:sz w:val="20"/>
          <w:szCs w:val="20"/>
        </w:rPr>
        <w:t>citare</w:t>
      </w:r>
      <w:r w:rsidR="00924383">
        <w:rPr>
          <w:rFonts w:ascii="Arial" w:hAnsi="Arial" w:cs="Arial"/>
          <w:sz w:val="20"/>
          <w:szCs w:val="20"/>
        </w:rPr>
        <w:t>:</w:t>
      </w:r>
      <w:r w:rsidR="00924383" w:rsidRPr="00924383">
        <w:rPr>
          <w:rFonts w:ascii="Arial" w:hAnsi="Arial" w:cs="Arial"/>
          <w:sz w:val="20"/>
          <w:szCs w:val="20"/>
        </w:rPr>
        <w:t xml:space="preserve"> (a) l’eventuale presenza </w:t>
      </w:r>
      <w:r w:rsidRPr="00924383">
        <w:rPr>
          <w:rFonts w:ascii="Arial" w:hAnsi="Arial" w:cs="Arial"/>
          <w:sz w:val="20"/>
          <w:szCs w:val="20"/>
        </w:rPr>
        <w:t>di lavoratori con disabilità o appartenenti a categorie svantaggiate ai sensi della L. 68/1999, specificando il numero totale di unità e la loro ripartizione percentuale;</w:t>
      </w:r>
      <w:r w:rsidR="00924383" w:rsidRPr="00924383">
        <w:rPr>
          <w:rFonts w:ascii="Arial" w:hAnsi="Arial" w:cs="Arial"/>
          <w:sz w:val="20"/>
          <w:szCs w:val="20"/>
        </w:rPr>
        <w:t xml:space="preserve"> (b)</w:t>
      </w:r>
      <w:r w:rsidR="00924383">
        <w:rPr>
          <w:rFonts w:ascii="Arial" w:hAnsi="Arial" w:cs="Arial"/>
          <w:sz w:val="20"/>
          <w:szCs w:val="20"/>
        </w:rPr>
        <w:t xml:space="preserve"> </w:t>
      </w:r>
      <w:r w:rsidRPr="00924383">
        <w:rPr>
          <w:rFonts w:ascii="Arial" w:hAnsi="Arial" w:cs="Arial"/>
          <w:sz w:val="20"/>
          <w:szCs w:val="20"/>
        </w:rPr>
        <w:t>le politiche aziendali adottate per promuovere l'inclusione lavorativa, la parità di genere e generazionale nell'ambito delle attività di supporto specialistico, con indicazione degli strumenti concreti adottati (es. percorsi di formazione interni per profili junior, programmi di mentoring, politiche di conciliazione vita-lavoro).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44008" w:rsidRPr="00170B9E" w14:paraId="0C6389CE" w14:textId="77777777" w:rsidTr="00EC2C72">
        <w:trPr>
          <w:trHeight w:val="1106"/>
        </w:trPr>
        <w:tc>
          <w:tcPr>
            <w:tcW w:w="8494" w:type="dxa"/>
            <w:shd w:val="clear" w:color="auto" w:fill="F2F2F2" w:themeFill="background1" w:themeFillShade="F2"/>
          </w:tcPr>
          <w:p w14:paraId="67E30C80" w14:textId="77777777" w:rsidR="00D44008" w:rsidRPr="00D44008" w:rsidRDefault="00D44008" w:rsidP="00D44008">
            <w:pPr>
              <w:jc w:val="both"/>
              <w:rPr>
                <w:rFonts w:ascii="Arial" w:hAnsi="Arial" w:cs="Arial"/>
                <w:bCs/>
                <w:sz w:val="20"/>
                <w:szCs w:val="20"/>
              </w:rPr>
            </w:pPr>
          </w:p>
        </w:tc>
      </w:tr>
    </w:tbl>
    <w:p w14:paraId="61AA6E9D" w14:textId="77777777" w:rsidR="00D44008" w:rsidRPr="004F0F9C" w:rsidRDefault="00D44008" w:rsidP="00D44008">
      <w:pPr>
        <w:jc w:val="both"/>
        <w:rPr>
          <w:rFonts w:ascii="Arial" w:hAnsi="Arial" w:cs="Arial"/>
          <w:sz w:val="20"/>
          <w:szCs w:val="20"/>
        </w:rPr>
      </w:pPr>
    </w:p>
    <w:p w14:paraId="6B09893E" w14:textId="77777777" w:rsidR="00D44008" w:rsidRPr="004F0F9C" w:rsidRDefault="00D44008" w:rsidP="00D44008">
      <w:pPr>
        <w:pStyle w:val="BodyText21"/>
        <w:spacing w:line="276" w:lineRule="auto"/>
        <w:ind w:left="298"/>
        <w:rPr>
          <w:rFonts w:ascii="Arial" w:hAnsi="Arial" w:cs="Arial"/>
          <w:sz w:val="20"/>
          <w:szCs w:val="20"/>
        </w:rPr>
      </w:pPr>
    </w:p>
    <w:p w14:paraId="2AABCFE7" w14:textId="75DBEE1C" w:rsidR="00DC69C7" w:rsidRPr="002A00AA" w:rsidRDefault="004F0F9C" w:rsidP="004F0F9C">
      <w:pPr>
        <w:pStyle w:val="Paragrafoelenco"/>
        <w:numPr>
          <w:ilvl w:val="0"/>
          <w:numId w:val="5"/>
        </w:numPr>
        <w:jc w:val="both"/>
        <w:rPr>
          <w:rFonts w:ascii="Arial" w:hAnsi="Arial" w:cs="Arial"/>
          <w:sz w:val="20"/>
          <w:szCs w:val="20"/>
        </w:rPr>
      </w:pPr>
      <w:r w:rsidRPr="002A00AA">
        <w:rPr>
          <w:rFonts w:ascii="Arial" w:hAnsi="Arial" w:cs="Arial"/>
          <w:sz w:val="20"/>
          <w:szCs w:val="20"/>
        </w:rPr>
        <w:t xml:space="preserve">È valutabile un modello di pricing alternativo al canone fisso per le sottoscrizioni Erwin </w:t>
      </w:r>
      <w:r w:rsidR="006D1116">
        <w:rPr>
          <w:rFonts w:ascii="Arial" w:hAnsi="Arial" w:cs="Arial"/>
          <w:sz w:val="20"/>
          <w:szCs w:val="20"/>
        </w:rPr>
        <w:t>sia per l’Enterprise Architecture che per il Data Governance</w:t>
      </w:r>
      <w:r w:rsidR="006D1116" w:rsidRPr="002A00AA">
        <w:rPr>
          <w:rFonts w:ascii="Arial" w:hAnsi="Arial" w:cs="Arial"/>
          <w:sz w:val="20"/>
          <w:szCs w:val="20"/>
        </w:rPr>
        <w:t xml:space="preserve"> </w:t>
      </w:r>
      <w:r w:rsidRPr="002A00AA">
        <w:rPr>
          <w:rFonts w:ascii="Arial" w:hAnsi="Arial" w:cs="Arial"/>
          <w:sz w:val="20"/>
          <w:szCs w:val="20"/>
        </w:rPr>
        <w:t>(es. pay-per-modeler, pay-per-active-user, consumption-based sul volume del repository)?</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F0F9C" w:rsidRPr="00170B9E" w14:paraId="5EF145AB" w14:textId="77777777" w:rsidTr="00A50DFE">
        <w:trPr>
          <w:trHeight w:val="1106"/>
        </w:trPr>
        <w:tc>
          <w:tcPr>
            <w:tcW w:w="8494" w:type="dxa"/>
            <w:shd w:val="clear" w:color="auto" w:fill="F2F2F2" w:themeFill="background1" w:themeFillShade="F2"/>
          </w:tcPr>
          <w:p w14:paraId="1DD3BC73" w14:textId="77777777" w:rsidR="004F0F9C" w:rsidRPr="004F0F9C" w:rsidRDefault="004F0F9C" w:rsidP="004F0F9C">
            <w:pPr>
              <w:jc w:val="both"/>
              <w:rPr>
                <w:rFonts w:ascii="Arial" w:hAnsi="Arial" w:cs="Arial"/>
                <w:bCs/>
                <w:sz w:val="20"/>
                <w:szCs w:val="20"/>
              </w:rPr>
            </w:pPr>
          </w:p>
        </w:tc>
      </w:tr>
    </w:tbl>
    <w:p w14:paraId="690A8C4F" w14:textId="77777777" w:rsidR="004F0F9C" w:rsidRPr="00D44008" w:rsidRDefault="004F0F9C" w:rsidP="004F0F9C">
      <w:pPr>
        <w:pStyle w:val="BodyText21"/>
        <w:spacing w:line="276" w:lineRule="auto"/>
        <w:ind w:left="298"/>
        <w:rPr>
          <w:rFonts w:ascii="Arial" w:hAnsi="Arial" w:cs="Arial"/>
          <w:sz w:val="20"/>
          <w:szCs w:val="20"/>
        </w:rPr>
      </w:pPr>
    </w:p>
    <w:p w14:paraId="1C53A7FD" w14:textId="77777777" w:rsidR="00DC69C7" w:rsidRPr="00170B9E" w:rsidRDefault="00DC69C7">
      <w:pPr>
        <w:pStyle w:val="Paragrafoelenco"/>
        <w:ind w:left="360"/>
        <w:jc w:val="both"/>
        <w:rPr>
          <w:rFonts w:ascii="Arial" w:hAnsi="Arial" w:cs="Arial"/>
          <w:color w:val="0070C0"/>
          <w:sz w:val="20"/>
          <w:szCs w:val="20"/>
        </w:rPr>
      </w:pPr>
    </w:p>
    <w:p w14:paraId="19278B3E" w14:textId="77777777" w:rsidR="00DC69C7" w:rsidRPr="00170B9E" w:rsidRDefault="00DC69C7">
      <w:pPr>
        <w:jc w:val="both"/>
        <w:rPr>
          <w:rFonts w:ascii="Arial" w:hAnsi="Arial" w:cs="Arial"/>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76D6" w14:textId="77777777" w:rsidR="00B66598" w:rsidRDefault="00B66598">
      <w:r>
        <w:separator/>
      </w:r>
    </w:p>
  </w:endnote>
  <w:endnote w:type="continuationSeparator" w:id="0">
    <w:p w14:paraId="4BC525D5" w14:textId="77777777" w:rsidR="00B66598" w:rsidRDefault="00B6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0395" w14:textId="33D7A9AD" w:rsidR="00DC69C7" w:rsidRPr="00C31161" w:rsidRDefault="002A15C6">
    <w:pPr>
      <w:pStyle w:val="Pidipagina"/>
      <w:pBdr>
        <w:top w:val="single" w:sz="4" w:space="1" w:color="auto"/>
      </w:pBdr>
      <w:rPr>
        <w:rFonts w:ascii="Arial" w:hAnsi="Arial" w:cs="Arial"/>
        <w:color w:val="0079D6"/>
        <w:sz w:val="15"/>
        <w:szCs w:val="15"/>
      </w:rPr>
    </w:pPr>
    <w:r w:rsidRPr="009B7132">
      <w:rPr>
        <w:b/>
        <w:bCs/>
        <w:noProof/>
      </w:rPr>
      <mc:AlternateContent>
        <mc:Choice Requires="wps">
          <w:drawing>
            <wp:anchor distT="0" distB="0" distL="114300" distR="114300" simplePos="0" relativeHeight="251657216" behindDoc="0" locked="0" layoutInCell="1" allowOverlap="1" wp14:anchorId="4FFADF05" wp14:editId="1E2E05B8">
              <wp:simplePos x="0" y="0"/>
              <wp:positionH relativeFrom="column">
                <wp:posOffset>4419600</wp:posOffset>
              </wp:positionH>
              <wp:positionV relativeFrom="paragraph">
                <wp:posOffset>147320</wp:posOffset>
              </wp:positionV>
              <wp:extent cx="868680" cy="205740"/>
              <wp:effectExtent l="0" t="0" r="7620" b="381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0574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48pt;margin-top:11.6pt;width:68.4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q5CgIAAPUDAAAOAAAAZHJzL2Uyb0RvYy54bWysU9tu2zAMfR+wfxD0vtgJkl6MOEWXLsOA&#10;7gJ0+wBZlmNhsqhRSuzs60fJbhp0b8NkQCBN6ujwkFrfDZ1hR4Vegy35fJZzpqyEWtt9yX983727&#10;4cwHYWthwKqSn5Tnd5u3b9a9K9QCWjC1QkYg1he9K3kbgiuyzMtWdcLPwClLwQawE4Fc3Gc1ip7Q&#10;O5Mt8vwq6wFrhyCV9/T3YQzyTcJvGiXD16bxKjBTcuIW0o5pr+Kebdai2KNwrZYTDfEPLDqhLV16&#10;hnoQQbAD6r+gOi0RPDRhJqHLoGm0VKkGqmaev6rmqRVOpVpIHO/OMvn/Byu/HJ/cN2RheA8DNTAV&#10;4d0jyJ+eWdi2wu7VPSL0rRI1XTyPkmW988V0NErtCx9Bqv4z1NRkcQiQgIYGu6gK1ckInRpwOouu&#10;hsAk/by5oo8ikkKLfHW9TE3JRPF82KEPHxV0LBolR+ppAhfHRx8iGVE8p8S7PBhd77QxycF9tTXI&#10;joL6v0sr8X+VZizrS367WqwSsoV4Po1GpwPNp9EdEc3jGicmivHB1iklCG1Gm5gYO6kTBRmlCUM1&#10;UGJUqYL6RDohjHNI74aMFvA3Zz3NYMn9r4NAxZn5ZEnr2/mS1GAhOcvV9YIcvIxUlxFhJUGVPHA2&#10;mtuQBj3qYOGeetLopNcLk4krzVaScXoHcXgv/ZT18lo3fwAAAP//AwBQSwMEFAAGAAgAAAAhAJTf&#10;9THeAAAACQEAAA8AAABkcnMvZG93bnJldi54bWxMj0FOwzAQRfdI3MEaJDaIOqTEbUMmFSCB2Lb0&#10;AJPYTSLicRS7TXp7zIouR/P1/3vFdra9OJvRd44RnhYJCMO10x03CIfvj8c1CB+INfWODcLFeNiW&#10;tzcF5dpNvDPnfWhELGGfE0IbwpBL6evWWPILNxiOv6MbLYV4jo3UI02x3PYyTRIlLXUcF1oazHtr&#10;6p/9ySIcv6aHbDNVn+Gw2j2rN+pWlbsg3t/Nry8ggpnDfxj+8CM6lJGpcifWXvQIaqOiS0BIlymI&#10;GFgv0+hSIWSZAlkW8tqg/AUAAP//AwBQSwECLQAUAAYACAAAACEAtoM4kv4AAADhAQAAEwAAAAAA&#10;AAAAAAAAAAAAAAAAW0NvbnRlbnRfVHlwZXNdLnhtbFBLAQItABQABgAIAAAAIQA4/SH/1gAAAJQB&#10;AAALAAAAAAAAAAAAAAAAAC8BAABfcmVscy8ucmVsc1BLAQItABQABgAIAAAAIQCPtMq5CgIAAPUD&#10;AAAOAAAAAAAAAAAAAAAAAC4CAABkcnMvZTJvRG9jLnhtbFBLAQItABQABgAIAAAAIQCU3/Ux3gAA&#10;AAkBAAAPAAAAAAAAAAAAAAAAAGQEAABkcnMvZG93bnJldi54bWxQSwUGAAAAAAQABADzAAAAbwUA&#10;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9B7132">
      <w:rPr>
        <w:rFonts w:ascii="Arial" w:hAnsi="Arial" w:cs="Arial"/>
        <w:color w:val="0079D6"/>
        <w:sz w:val="15"/>
        <w:szCs w:val="15"/>
      </w:rPr>
      <w:t xml:space="preserve">Consip S.p.A. - Consultazione di mercato per </w:t>
    </w:r>
    <w:r w:rsidR="001E0AEA" w:rsidRPr="009B7132">
      <w:rPr>
        <w:rFonts w:ascii="Arial" w:hAnsi="Arial" w:cs="Arial"/>
        <w:color w:val="0079D6"/>
        <w:sz w:val="15"/>
        <w:szCs w:val="15"/>
      </w:rPr>
      <w:t>l’acquisizione di sottoscrizioni de</w:t>
    </w:r>
    <w:r w:rsidR="00FF2E53">
      <w:rPr>
        <w:rFonts w:ascii="Arial" w:hAnsi="Arial" w:cs="Arial"/>
        <w:color w:val="0079D6"/>
        <w:sz w:val="15"/>
        <w:szCs w:val="15"/>
      </w:rPr>
      <w:t xml:space="preserve">i </w:t>
    </w:r>
    <w:r w:rsidR="001E0AEA" w:rsidRPr="009B7132">
      <w:rPr>
        <w:rFonts w:ascii="Arial" w:hAnsi="Arial" w:cs="Arial"/>
        <w:color w:val="0079D6"/>
        <w:sz w:val="15"/>
        <w:szCs w:val="15"/>
      </w:rPr>
      <w:t>prodott</w:t>
    </w:r>
    <w:r w:rsidR="00FF2E53">
      <w:rPr>
        <w:rFonts w:ascii="Arial" w:hAnsi="Arial" w:cs="Arial"/>
        <w:color w:val="0079D6"/>
        <w:sz w:val="15"/>
        <w:szCs w:val="15"/>
      </w:rPr>
      <w:t>i</w:t>
    </w:r>
    <w:r w:rsidR="001E0AEA" w:rsidRPr="009B7132">
      <w:rPr>
        <w:rFonts w:ascii="Arial" w:hAnsi="Arial" w:cs="Arial"/>
        <w:color w:val="0079D6"/>
        <w:sz w:val="15"/>
        <w:szCs w:val="15"/>
      </w:rPr>
      <w:t xml:space="preserve"> software di enterprise architecture</w:t>
    </w:r>
    <w:r w:rsidR="001E0AEA" w:rsidRPr="001E0AEA">
      <w:rPr>
        <w:rFonts w:ascii="Arial" w:hAnsi="Arial" w:cs="Arial"/>
        <w:color w:val="0079D6"/>
        <w:sz w:val="15"/>
        <w:szCs w:val="15"/>
      </w:rPr>
      <w:t xml:space="preserve"> </w:t>
    </w:r>
    <w:r w:rsidR="00FF2E53">
      <w:rPr>
        <w:rFonts w:ascii="Arial" w:hAnsi="Arial" w:cs="Arial"/>
        <w:color w:val="0079D6"/>
        <w:sz w:val="15"/>
        <w:szCs w:val="15"/>
      </w:rPr>
      <w:t>e data modeling Erwin</w:t>
    </w:r>
    <w:r w:rsidR="002A00AA">
      <w:rPr>
        <w:rFonts w:ascii="Arial" w:hAnsi="Arial" w:cs="Arial"/>
        <w:color w:val="0079D6"/>
        <w:sz w:val="15"/>
        <w:szCs w:val="15"/>
      </w:rPr>
      <w:t xml:space="preserve"> per Sogei</w:t>
    </w:r>
    <w:r w:rsidR="001E0AEA">
      <w:rPr>
        <w:rFonts w:ascii="Arial" w:hAnsi="Arial" w:cs="Arial"/>
        <w:color w:val="0079D6"/>
        <w:sz w:val="15"/>
        <w:szCs w:val="15"/>
      </w:rPr>
      <w:br/>
    </w:r>
    <w:r w:rsidR="00522FB0" w:rsidRPr="009B7132">
      <w:rPr>
        <w:rFonts w:ascii="Arial" w:hAnsi="Arial" w:cs="Arial"/>
        <w:color w:val="0079D6"/>
        <w:sz w:val="15"/>
        <w:szCs w:val="15"/>
      </w:rPr>
      <w:t>Ver. 1.</w:t>
    </w:r>
    <w:r w:rsidR="00C037CC" w:rsidRPr="009B7132">
      <w:rPr>
        <w:rFonts w:ascii="Arial" w:hAnsi="Arial" w:cs="Arial"/>
        <w:color w:val="0079D6"/>
        <w:sz w:val="15"/>
        <w:szCs w:val="15"/>
      </w:rPr>
      <w:t>2</w:t>
    </w:r>
    <w:r w:rsidR="00522FB0" w:rsidRPr="009B7132">
      <w:rPr>
        <w:rFonts w:ascii="Arial" w:hAnsi="Arial" w:cs="Arial"/>
        <w:color w:val="0079D6"/>
        <w:sz w:val="15"/>
        <w:szCs w:val="15"/>
      </w:rPr>
      <w:t xml:space="preserve"> - Data Aggiornamento: </w:t>
    </w:r>
    <w:r w:rsidR="00C31161" w:rsidRPr="009B7132">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Reg. Imp. c/o C.C.I.A.A. Roma 05359681003</w:t>
          </w:r>
        </w:p>
        <w:p w14:paraId="6490096C"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8EC7" w14:textId="77777777" w:rsidR="00B66598" w:rsidRDefault="00B66598">
      <w:r>
        <w:separator/>
      </w:r>
    </w:p>
  </w:footnote>
  <w:footnote w:type="continuationSeparator" w:id="0">
    <w:p w14:paraId="7CC5B98B" w14:textId="77777777" w:rsidR="00B66598" w:rsidRDefault="00B6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C38"/>
    <w:multiLevelType w:val="hybridMultilevel"/>
    <w:tmpl w:val="4F2803F4"/>
    <w:lvl w:ilvl="0" w:tplc="41A858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73110"/>
    <w:multiLevelType w:val="hybridMultilevel"/>
    <w:tmpl w:val="09D6A264"/>
    <w:lvl w:ilvl="0" w:tplc="26D05B9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C77FC5"/>
    <w:multiLevelType w:val="hybridMultilevel"/>
    <w:tmpl w:val="500C6A70"/>
    <w:lvl w:ilvl="0" w:tplc="7E388F0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F823FF"/>
    <w:multiLevelType w:val="multilevel"/>
    <w:tmpl w:val="55C85B52"/>
    <w:lvl w:ilvl="0">
      <w:numFmt w:val="bullet"/>
      <w:lvlText w:val="o"/>
      <w:lvlJc w:val="left"/>
      <w:pPr>
        <w:tabs>
          <w:tab w:val="left" w:pos="360"/>
        </w:tabs>
      </w:pPr>
      <w:rPr>
        <w:rFonts w:ascii="Courier New" w:eastAsia="Courier New" w:hAnsi="Courier New"/>
        <w:color w:val="000000"/>
        <w:spacing w:val="-4"/>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6A6984"/>
    <w:multiLevelType w:val="hybridMultilevel"/>
    <w:tmpl w:val="DBA4B926"/>
    <w:lvl w:ilvl="0" w:tplc="A880CE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32168F8"/>
    <w:multiLevelType w:val="hybridMultilevel"/>
    <w:tmpl w:val="8C96E772"/>
    <w:lvl w:ilvl="0" w:tplc="00F883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9" w15:restartNumberingAfterBreak="0">
    <w:nsid w:val="38123AC8"/>
    <w:multiLevelType w:val="multilevel"/>
    <w:tmpl w:val="70AE4604"/>
    <w:lvl w:ilvl="0">
      <w:numFmt w:val="bullet"/>
      <w:lvlText w:val="·"/>
      <w:lvlJc w:val="left"/>
      <w:pPr>
        <w:tabs>
          <w:tab w:val="left" w:pos="648"/>
        </w:tabs>
      </w:pPr>
      <w:rPr>
        <w:rFonts w:ascii="Symbol" w:eastAsia="Symbol" w:hAnsi="Symbol"/>
        <w:b/>
        <w:color w:val="000000"/>
        <w:spacing w:val="-7"/>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5BAB7C6C"/>
    <w:multiLevelType w:val="hybridMultilevel"/>
    <w:tmpl w:val="1AA69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F5245E"/>
    <w:multiLevelType w:val="hybridMultilevel"/>
    <w:tmpl w:val="AB4E55BA"/>
    <w:lvl w:ilvl="0" w:tplc="1646CB5C">
      <w:start w:val="1"/>
      <w:numFmt w:val="lowerLetter"/>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7822E06"/>
    <w:multiLevelType w:val="multilevel"/>
    <w:tmpl w:val="B3A8CC50"/>
    <w:lvl w:ilvl="0">
      <w:numFmt w:val="bullet"/>
      <w:lvlText w:val="·"/>
      <w:lvlJc w:val="left"/>
      <w:pPr>
        <w:tabs>
          <w:tab w:val="left" w:pos="360"/>
        </w:tabs>
      </w:pPr>
      <w:rPr>
        <w:rFonts w:ascii="Symbol" w:eastAsia="Symbol" w:hAnsi="Symbol"/>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C25612"/>
    <w:multiLevelType w:val="hybridMultilevel"/>
    <w:tmpl w:val="E70EB50C"/>
    <w:lvl w:ilvl="0" w:tplc="E04685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10"/>
  </w:num>
  <w:num w:numId="2" w16cid:durableId="394013735">
    <w:abstractNumId w:val="11"/>
  </w:num>
  <w:num w:numId="3" w16cid:durableId="1236167575">
    <w:abstractNumId w:val="12"/>
  </w:num>
  <w:num w:numId="4" w16cid:durableId="1539507050">
    <w:abstractNumId w:val="16"/>
  </w:num>
  <w:num w:numId="5" w16cid:durableId="1567715110">
    <w:abstractNumId w:val="7"/>
  </w:num>
  <w:num w:numId="6" w16cid:durableId="888954042">
    <w:abstractNumId w:val="5"/>
  </w:num>
  <w:num w:numId="7" w16cid:durableId="1685551617">
    <w:abstractNumId w:val="10"/>
  </w:num>
  <w:num w:numId="8" w16cid:durableId="2049139088">
    <w:abstractNumId w:val="10"/>
  </w:num>
  <w:num w:numId="9" w16cid:durableId="100145866">
    <w:abstractNumId w:val="10"/>
  </w:num>
  <w:num w:numId="10" w16cid:durableId="978262507">
    <w:abstractNumId w:val="10"/>
  </w:num>
  <w:num w:numId="11" w16cid:durableId="2002193214">
    <w:abstractNumId w:val="10"/>
  </w:num>
  <w:num w:numId="12" w16cid:durableId="1277368755">
    <w:abstractNumId w:val="10"/>
  </w:num>
  <w:num w:numId="13" w16cid:durableId="286862615">
    <w:abstractNumId w:val="8"/>
  </w:num>
  <w:num w:numId="14" w16cid:durableId="215627746">
    <w:abstractNumId w:val="9"/>
  </w:num>
  <w:num w:numId="15" w16cid:durableId="330371500">
    <w:abstractNumId w:val="3"/>
  </w:num>
  <w:num w:numId="16" w16cid:durableId="331639278">
    <w:abstractNumId w:val="15"/>
  </w:num>
  <w:num w:numId="17" w16cid:durableId="1694843783">
    <w:abstractNumId w:val="13"/>
  </w:num>
  <w:num w:numId="18" w16cid:durableId="993098429">
    <w:abstractNumId w:val="14"/>
  </w:num>
  <w:num w:numId="19" w16cid:durableId="1164475266">
    <w:abstractNumId w:val="17"/>
  </w:num>
  <w:num w:numId="20" w16cid:durableId="1540358968">
    <w:abstractNumId w:val="0"/>
  </w:num>
  <w:num w:numId="21" w16cid:durableId="1701393668">
    <w:abstractNumId w:val="1"/>
  </w:num>
  <w:num w:numId="22" w16cid:durableId="1369834631">
    <w:abstractNumId w:val="4"/>
  </w:num>
  <w:num w:numId="23" w16cid:durableId="328026111">
    <w:abstractNumId w:val="2"/>
  </w:num>
  <w:num w:numId="24" w16cid:durableId="150354217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51C76"/>
    <w:rsid w:val="0006460C"/>
    <w:rsid w:val="00090D20"/>
    <w:rsid w:val="000C0168"/>
    <w:rsid w:val="000C2F46"/>
    <w:rsid w:val="000D1487"/>
    <w:rsid w:val="00102E52"/>
    <w:rsid w:val="001375CE"/>
    <w:rsid w:val="00155A8F"/>
    <w:rsid w:val="00170B9E"/>
    <w:rsid w:val="001830C4"/>
    <w:rsid w:val="001E0AEA"/>
    <w:rsid w:val="001F4A35"/>
    <w:rsid w:val="00201DC0"/>
    <w:rsid w:val="00212700"/>
    <w:rsid w:val="00286F09"/>
    <w:rsid w:val="002A00AA"/>
    <w:rsid w:val="002A15C6"/>
    <w:rsid w:val="002D1028"/>
    <w:rsid w:val="002E259E"/>
    <w:rsid w:val="002E4965"/>
    <w:rsid w:val="003322D1"/>
    <w:rsid w:val="00367A5D"/>
    <w:rsid w:val="00371650"/>
    <w:rsid w:val="00381CEF"/>
    <w:rsid w:val="00394B0A"/>
    <w:rsid w:val="003D5620"/>
    <w:rsid w:val="003E37B5"/>
    <w:rsid w:val="00404981"/>
    <w:rsid w:val="004064FB"/>
    <w:rsid w:val="004241BA"/>
    <w:rsid w:val="00424785"/>
    <w:rsid w:val="004A7DC4"/>
    <w:rsid w:val="004E112F"/>
    <w:rsid w:val="004E2052"/>
    <w:rsid w:val="004E3A29"/>
    <w:rsid w:val="004F0F9C"/>
    <w:rsid w:val="004F5D47"/>
    <w:rsid w:val="00522FB0"/>
    <w:rsid w:val="005273BE"/>
    <w:rsid w:val="00542056"/>
    <w:rsid w:val="0059214D"/>
    <w:rsid w:val="005A62A3"/>
    <w:rsid w:val="006028E0"/>
    <w:rsid w:val="00640C9F"/>
    <w:rsid w:val="006446D6"/>
    <w:rsid w:val="00645A4A"/>
    <w:rsid w:val="00651BF8"/>
    <w:rsid w:val="006771A7"/>
    <w:rsid w:val="00685740"/>
    <w:rsid w:val="006B5150"/>
    <w:rsid w:val="006D1116"/>
    <w:rsid w:val="006E275A"/>
    <w:rsid w:val="006F4933"/>
    <w:rsid w:val="006F6294"/>
    <w:rsid w:val="007017D2"/>
    <w:rsid w:val="0070664E"/>
    <w:rsid w:val="00723056"/>
    <w:rsid w:val="007602A8"/>
    <w:rsid w:val="00786A9E"/>
    <w:rsid w:val="007C43F2"/>
    <w:rsid w:val="007D4178"/>
    <w:rsid w:val="0084340E"/>
    <w:rsid w:val="0084619C"/>
    <w:rsid w:val="0085390A"/>
    <w:rsid w:val="008655E2"/>
    <w:rsid w:val="00885574"/>
    <w:rsid w:val="0089031E"/>
    <w:rsid w:val="008A4383"/>
    <w:rsid w:val="008E5411"/>
    <w:rsid w:val="00924383"/>
    <w:rsid w:val="009557A0"/>
    <w:rsid w:val="009B7132"/>
    <w:rsid w:val="009C3441"/>
    <w:rsid w:val="009E2B82"/>
    <w:rsid w:val="00A265C2"/>
    <w:rsid w:val="00AC228E"/>
    <w:rsid w:val="00AE2C36"/>
    <w:rsid w:val="00AE763C"/>
    <w:rsid w:val="00B05145"/>
    <w:rsid w:val="00B66598"/>
    <w:rsid w:val="00B6707A"/>
    <w:rsid w:val="00B7242E"/>
    <w:rsid w:val="00BC507E"/>
    <w:rsid w:val="00BE5CF8"/>
    <w:rsid w:val="00C037CC"/>
    <w:rsid w:val="00C21B50"/>
    <w:rsid w:val="00C31161"/>
    <w:rsid w:val="00C41B8A"/>
    <w:rsid w:val="00C505B8"/>
    <w:rsid w:val="00C505D6"/>
    <w:rsid w:val="00C524B3"/>
    <w:rsid w:val="00C6148C"/>
    <w:rsid w:val="00C85028"/>
    <w:rsid w:val="00CD6EA4"/>
    <w:rsid w:val="00D44008"/>
    <w:rsid w:val="00D81E3F"/>
    <w:rsid w:val="00D87373"/>
    <w:rsid w:val="00D95DB5"/>
    <w:rsid w:val="00DC69C7"/>
    <w:rsid w:val="00E44C0C"/>
    <w:rsid w:val="00E637C6"/>
    <w:rsid w:val="00E74D3A"/>
    <w:rsid w:val="00EC2547"/>
    <w:rsid w:val="00EC25B7"/>
    <w:rsid w:val="00ED4913"/>
    <w:rsid w:val="00F30CA0"/>
    <w:rsid w:val="00F40BBF"/>
    <w:rsid w:val="00F43F55"/>
    <w:rsid w:val="00F464DB"/>
    <w:rsid w:val="00F46F80"/>
    <w:rsid w:val="00F63C9D"/>
    <w:rsid w:val="00F87EFB"/>
    <w:rsid w:val="00FA1A7D"/>
    <w:rsid w:val="00FB62DB"/>
    <w:rsid w:val="00FD0D3A"/>
    <w:rsid w:val="00FE00F4"/>
    <w:rsid w:val="00FF06E1"/>
    <w:rsid w:val="00FF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72"/>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1E0AEA"/>
    <w:rPr>
      <w:color w:val="605E5C"/>
      <w:shd w:val="clear" w:color="auto" w:fill="E1DFDD"/>
    </w:r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34"/>
    <w:rsid w:val="00D44008"/>
    <w:rPr>
      <w:sz w:val="24"/>
      <w:szCs w:val="24"/>
    </w:rPr>
  </w:style>
  <w:style w:type="table" w:styleId="Grigliatabellachiara">
    <w:name w:val="Grid Table Light"/>
    <w:basedOn w:val="Tabellanormale"/>
    <w:uiPriority w:val="40"/>
    <w:rsid w:val="004F0F9C"/>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3214</Words>
  <Characters>18322</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2026-06-18T07:20:00Z</dcterms:created>
  <dcterms:modified xsi:type="dcterms:W3CDTF">2026-06-18T07:43:00Z</dcterms:modified>
</cp:coreProperties>
</file>