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C66F03" w:rsidRDefault="00DC69C7">
      <w:pPr>
        <w:jc w:val="both"/>
        <w:rPr>
          <w:rFonts w:ascii="Arial" w:hAnsi="Arial" w:cs="Arial"/>
        </w:rPr>
      </w:pPr>
    </w:p>
    <w:p w14:paraId="0CC5CFA1" w14:textId="77777777" w:rsidR="00DC69C7" w:rsidRPr="00C66F03" w:rsidRDefault="00DC69C7">
      <w:pPr>
        <w:jc w:val="both"/>
        <w:rPr>
          <w:rFonts w:ascii="Arial" w:hAnsi="Arial" w:cs="Arial"/>
        </w:rPr>
      </w:pPr>
    </w:p>
    <w:p w14:paraId="1BBB0338" w14:textId="77777777" w:rsidR="00DC69C7" w:rsidRPr="00C66F03" w:rsidRDefault="00DC69C7">
      <w:pPr>
        <w:jc w:val="both"/>
        <w:rPr>
          <w:rFonts w:ascii="Arial" w:hAnsi="Arial" w:cs="Arial"/>
        </w:rPr>
      </w:pPr>
    </w:p>
    <w:p w14:paraId="707749DE" w14:textId="77777777" w:rsidR="00DC69C7" w:rsidRPr="00C66F03" w:rsidRDefault="00DC69C7">
      <w:pPr>
        <w:jc w:val="both"/>
        <w:rPr>
          <w:rFonts w:ascii="Arial" w:hAnsi="Arial" w:cs="Arial"/>
        </w:rPr>
      </w:pPr>
    </w:p>
    <w:p w14:paraId="2B59B147" w14:textId="77777777" w:rsidR="00DC69C7" w:rsidRPr="00C66F03" w:rsidRDefault="00DC69C7">
      <w:pPr>
        <w:jc w:val="both"/>
        <w:rPr>
          <w:rFonts w:ascii="Arial" w:hAnsi="Arial" w:cs="Arial"/>
        </w:rPr>
      </w:pPr>
    </w:p>
    <w:p w14:paraId="2AF2AC5D" w14:textId="77777777" w:rsidR="00DC69C7" w:rsidRPr="00C66F03" w:rsidRDefault="00DC69C7">
      <w:pPr>
        <w:jc w:val="both"/>
        <w:rPr>
          <w:rFonts w:ascii="Arial" w:hAnsi="Arial" w:cs="Arial"/>
        </w:rPr>
      </w:pPr>
    </w:p>
    <w:p w14:paraId="3ACB2EC6" w14:textId="77777777" w:rsidR="00DC69C7" w:rsidRPr="00C66F03" w:rsidRDefault="00DC69C7">
      <w:pPr>
        <w:jc w:val="both"/>
        <w:rPr>
          <w:rFonts w:ascii="Arial" w:hAnsi="Arial" w:cs="Arial"/>
        </w:rPr>
      </w:pPr>
    </w:p>
    <w:p w14:paraId="1FCE243E" w14:textId="77777777" w:rsidR="00DC69C7" w:rsidRPr="00C66F03" w:rsidRDefault="00DC69C7">
      <w:pPr>
        <w:jc w:val="both"/>
        <w:rPr>
          <w:rFonts w:ascii="Arial" w:hAnsi="Arial" w:cs="Arial"/>
        </w:rPr>
      </w:pPr>
    </w:p>
    <w:p w14:paraId="42512ED9" w14:textId="0AB33404" w:rsidR="00DC69C7" w:rsidRPr="00C66F03" w:rsidRDefault="00522FB0">
      <w:pPr>
        <w:rPr>
          <w:rFonts w:ascii="Arial" w:hAnsi="Arial" w:cs="Arial"/>
          <w:b/>
          <w:bCs/>
          <w:color w:val="0070C0"/>
          <w:sz w:val="36"/>
          <w:szCs w:val="36"/>
        </w:rPr>
      </w:pPr>
      <w:r w:rsidRPr="00C66F03">
        <w:rPr>
          <w:rFonts w:ascii="Arial" w:hAnsi="Arial" w:cs="Arial"/>
          <w:b/>
          <w:sz w:val="36"/>
          <w:szCs w:val="36"/>
        </w:rPr>
        <w:t>ACQUISIZIONE</w:t>
      </w:r>
      <w:r w:rsidRPr="00C66F03">
        <w:rPr>
          <w:rFonts w:ascii="Arial" w:hAnsi="Arial" w:cs="Arial"/>
          <w:b/>
          <w:bCs/>
          <w:sz w:val="36"/>
          <w:szCs w:val="36"/>
        </w:rPr>
        <w:t xml:space="preserve"> </w:t>
      </w:r>
      <w:r w:rsidR="003D3C65" w:rsidRPr="00C66F03">
        <w:rPr>
          <w:rFonts w:ascii="Arial" w:hAnsi="Arial" w:cs="Arial"/>
          <w:b/>
          <w:bCs/>
          <w:sz w:val="36"/>
          <w:szCs w:val="36"/>
        </w:rPr>
        <w:t xml:space="preserve">DEI SERVIZI DI BANCHE DATI </w:t>
      </w:r>
      <w:r w:rsidR="005471CE" w:rsidRPr="005400F7">
        <w:rPr>
          <w:rFonts w:ascii="Arial" w:hAnsi="Arial" w:cs="Arial"/>
          <w:b/>
          <w:bCs/>
          <w:sz w:val="36"/>
          <w:szCs w:val="36"/>
        </w:rPr>
        <w:t xml:space="preserve">GARTNER </w:t>
      </w:r>
      <w:r w:rsidR="003D3C65" w:rsidRPr="00C66F03">
        <w:rPr>
          <w:rFonts w:ascii="Arial" w:hAnsi="Arial" w:cs="Arial"/>
          <w:b/>
          <w:bCs/>
          <w:sz w:val="36"/>
          <w:szCs w:val="36"/>
        </w:rPr>
        <w:t xml:space="preserve">PER IL SUPPORTO STRATEGICO IN AMBITO ICT PER SOGEI </w:t>
      </w:r>
      <w:r w:rsidR="00484C96" w:rsidRPr="00C66F03">
        <w:rPr>
          <w:rFonts w:ascii="Arial" w:hAnsi="Arial" w:cs="Arial"/>
          <w:b/>
          <w:bCs/>
          <w:sz w:val="36"/>
          <w:szCs w:val="36"/>
        </w:rPr>
        <w:t>– ID 30</w:t>
      </w:r>
      <w:r w:rsidR="00CF452D" w:rsidRPr="00C66F03">
        <w:rPr>
          <w:rFonts w:ascii="Arial" w:hAnsi="Arial" w:cs="Arial"/>
          <w:b/>
          <w:bCs/>
          <w:sz w:val="36"/>
          <w:szCs w:val="36"/>
        </w:rPr>
        <w:t>10</w:t>
      </w:r>
    </w:p>
    <w:p w14:paraId="3F7F09E2" w14:textId="77777777" w:rsidR="00DC69C7" w:rsidRPr="00C66F03" w:rsidRDefault="00DC69C7">
      <w:pPr>
        <w:rPr>
          <w:rFonts w:ascii="Arial" w:hAnsi="Arial" w:cs="Arial"/>
          <w:b/>
          <w:bCs/>
        </w:rPr>
      </w:pPr>
    </w:p>
    <w:p w14:paraId="07AAEEC8" w14:textId="77777777" w:rsidR="00DC69C7" w:rsidRPr="00C66F03" w:rsidRDefault="00DC69C7">
      <w:pPr>
        <w:rPr>
          <w:rFonts w:ascii="Arial" w:hAnsi="Arial" w:cs="Arial"/>
          <w:b/>
          <w:bCs/>
        </w:rPr>
      </w:pPr>
    </w:p>
    <w:p w14:paraId="439733AA" w14:textId="77777777" w:rsidR="00DC69C7" w:rsidRPr="00C66F03" w:rsidRDefault="00DC69C7">
      <w:pPr>
        <w:rPr>
          <w:rFonts w:ascii="Arial" w:hAnsi="Arial" w:cs="Arial"/>
          <w:b/>
          <w:bCs/>
        </w:rPr>
      </w:pPr>
    </w:p>
    <w:p w14:paraId="1AA5E5C4" w14:textId="77777777" w:rsidR="00DC69C7" w:rsidRPr="00C66F03" w:rsidRDefault="00DC69C7">
      <w:pPr>
        <w:rPr>
          <w:rFonts w:ascii="Arial" w:hAnsi="Arial" w:cs="Arial"/>
          <w:b/>
          <w:bCs/>
        </w:rPr>
      </w:pPr>
    </w:p>
    <w:p w14:paraId="696C3DFB" w14:textId="77777777" w:rsidR="00DC69C7" w:rsidRPr="00C66F03" w:rsidRDefault="00DC69C7">
      <w:pPr>
        <w:rPr>
          <w:rFonts w:ascii="Arial" w:hAnsi="Arial" w:cs="Arial"/>
          <w:b/>
          <w:bCs/>
        </w:rPr>
      </w:pPr>
    </w:p>
    <w:p w14:paraId="7892C5B5" w14:textId="77777777" w:rsidR="00DC69C7" w:rsidRPr="00C66F03" w:rsidRDefault="00DC69C7">
      <w:pPr>
        <w:jc w:val="both"/>
        <w:rPr>
          <w:rFonts w:ascii="Arial" w:hAnsi="Arial" w:cs="Arial"/>
        </w:rPr>
      </w:pPr>
    </w:p>
    <w:p w14:paraId="31B7B6CD" w14:textId="77777777" w:rsidR="00DC69C7" w:rsidRPr="00C66F03" w:rsidRDefault="00DC69C7">
      <w:pPr>
        <w:jc w:val="both"/>
        <w:rPr>
          <w:rFonts w:ascii="Arial" w:hAnsi="Arial" w:cs="Arial"/>
        </w:rPr>
      </w:pPr>
    </w:p>
    <w:p w14:paraId="6FECAEA9" w14:textId="77777777" w:rsidR="00DC69C7" w:rsidRPr="00C66F03" w:rsidRDefault="00DC69C7">
      <w:pPr>
        <w:jc w:val="both"/>
        <w:rPr>
          <w:rFonts w:ascii="Arial" w:hAnsi="Arial" w:cs="Arial"/>
        </w:rPr>
      </w:pPr>
    </w:p>
    <w:p w14:paraId="65F58194" w14:textId="77777777" w:rsidR="00DC69C7" w:rsidRPr="00C66F03" w:rsidRDefault="00DC69C7">
      <w:pPr>
        <w:pStyle w:val="Titolo4"/>
        <w:jc w:val="left"/>
        <w:rPr>
          <w:rFonts w:ascii="Arial" w:hAnsi="Arial" w:cs="Arial"/>
        </w:rPr>
      </w:pPr>
    </w:p>
    <w:p w14:paraId="1678F218" w14:textId="77777777" w:rsidR="00DC69C7" w:rsidRPr="00C66F03" w:rsidRDefault="00522FB0">
      <w:pPr>
        <w:pStyle w:val="Titolo4"/>
        <w:jc w:val="left"/>
        <w:rPr>
          <w:rFonts w:ascii="Arial" w:hAnsi="Arial" w:cs="Arial"/>
          <w:sz w:val="28"/>
          <w:szCs w:val="28"/>
        </w:rPr>
      </w:pPr>
      <w:r w:rsidRPr="00C66F03">
        <w:rPr>
          <w:rFonts w:ascii="Arial" w:hAnsi="Arial" w:cs="Arial"/>
          <w:sz w:val="28"/>
          <w:szCs w:val="28"/>
        </w:rPr>
        <w:t>DOCUMENTO DI CONSULTAZIONE DEL MERCATO</w:t>
      </w:r>
    </w:p>
    <w:p w14:paraId="38EC48B4" w14:textId="77777777" w:rsidR="00DC69C7" w:rsidRPr="00C66F03" w:rsidRDefault="00DC69C7">
      <w:pPr>
        <w:jc w:val="both"/>
        <w:rPr>
          <w:rFonts w:ascii="Arial" w:hAnsi="Arial" w:cs="Arial"/>
          <w:sz w:val="20"/>
          <w:szCs w:val="20"/>
        </w:rPr>
      </w:pPr>
    </w:p>
    <w:p w14:paraId="5BADEDE4" w14:textId="77777777" w:rsidR="00DC69C7" w:rsidRPr="00C66F03" w:rsidRDefault="00DC69C7">
      <w:pPr>
        <w:spacing w:line="360" w:lineRule="auto"/>
        <w:rPr>
          <w:rFonts w:ascii="Arial" w:hAnsi="Arial" w:cs="Arial"/>
          <w:sz w:val="20"/>
          <w:szCs w:val="20"/>
        </w:rPr>
      </w:pPr>
    </w:p>
    <w:p w14:paraId="3A8C2F20" w14:textId="77777777" w:rsidR="00DC69C7" w:rsidRPr="00C66F03" w:rsidRDefault="00DC69C7">
      <w:pPr>
        <w:spacing w:line="360" w:lineRule="auto"/>
        <w:rPr>
          <w:rFonts w:ascii="Arial" w:hAnsi="Arial" w:cs="Arial"/>
          <w:sz w:val="20"/>
          <w:szCs w:val="20"/>
        </w:rPr>
      </w:pPr>
    </w:p>
    <w:p w14:paraId="2EF8BCA9" w14:textId="77777777" w:rsidR="00DC69C7" w:rsidRPr="00C66F03" w:rsidRDefault="00DC69C7">
      <w:pPr>
        <w:spacing w:line="360" w:lineRule="auto"/>
        <w:rPr>
          <w:rFonts w:ascii="Arial" w:hAnsi="Arial" w:cs="Arial"/>
          <w:sz w:val="20"/>
          <w:szCs w:val="20"/>
        </w:rPr>
      </w:pPr>
    </w:p>
    <w:p w14:paraId="176A77AA" w14:textId="77777777" w:rsidR="00DC69C7" w:rsidRPr="00C66F03" w:rsidRDefault="00DC69C7">
      <w:pPr>
        <w:spacing w:line="360" w:lineRule="auto"/>
        <w:rPr>
          <w:rFonts w:ascii="Arial" w:hAnsi="Arial" w:cs="Arial"/>
          <w:sz w:val="20"/>
          <w:szCs w:val="20"/>
        </w:rPr>
      </w:pPr>
    </w:p>
    <w:p w14:paraId="6A7D672F" w14:textId="77777777" w:rsidR="00DC69C7" w:rsidRPr="00C66F03" w:rsidRDefault="00DC69C7">
      <w:pPr>
        <w:pStyle w:val="Titolo4"/>
        <w:jc w:val="left"/>
        <w:rPr>
          <w:rFonts w:ascii="Arial" w:hAnsi="Arial" w:cs="Arial"/>
          <w:sz w:val="20"/>
          <w:szCs w:val="20"/>
        </w:rPr>
      </w:pPr>
    </w:p>
    <w:p w14:paraId="67EC5947" w14:textId="77777777" w:rsidR="00DC69C7" w:rsidRPr="00C66F03" w:rsidRDefault="00DC69C7">
      <w:pPr>
        <w:pStyle w:val="Titolo4"/>
        <w:jc w:val="left"/>
        <w:rPr>
          <w:rFonts w:ascii="Arial" w:hAnsi="Arial" w:cs="Arial"/>
          <w:sz w:val="20"/>
          <w:szCs w:val="20"/>
        </w:rPr>
      </w:pPr>
    </w:p>
    <w:p w14:paraId="7129E583" w14:textId="77777777" w:rsidR="00DC69C7" w:rsidRPr="00C66F03" w:rsidRDefault="00DC69C7">
      <w:pPr>
        <w:rPr>
          <w:rFonts w:ascii="Arial" w:hAnsi="Arial" w:cs="Arial"/>
        </w:rPr>
      </w:pPr>
    </w:p>
    <w:p w14:paraId="6F56C1EE" w14:textId="77777777" w:rsidR="00DC69C7" w:rsidRPr="00C66F03" w:rsidRDefault="00522FB0">
      <w:pPr>
        <w:spacing w:line="276" w:lineRule="auto"/>
        <w:jc w:val="both"/>
        <w:rPr>
          <w:rFonts w:ascii="Arial" w:hAnsi="Arial" w:cs="Arial"/>
          <w:b/>
          <w:bCs/>
          <w:i/>
          <w:sz w:val="20"/>
          <w:szCs w:val="20"/>
        </w:rPr>
      </w:pPr>
      <w:r w:rsidRPr="00C66F03">
        <w:rPr>
          <w:rFonts w:ascii="Arial" w:hAnsi="Arial" w:cs="Arial"/>
          <w:b/>
          <w:bCs/>
          <w:i/>
          <w:sz w:val="20"/>
          <w:szCs w:val="20"/>
        </w:rPr>
        <w:t>Da inviare a mezzo mail all’indirizzo:</w:t>
      </w:r>
    </w:p>
    <w:p w14:paraId="6E5AC4AA" w14:textId="77777777" w:rsidR="00DC69C7" w:rsidRPr="00C66F03" w:rsidRDefault="00DC69C7">
      <w:pPr>
        <w:spacing w:line="276" w:lineRule="auto"/>
        <w:jc w:val="both"/>
        <w:rPr>
          <w:rFonts w:ascii="Arial" w:hAnsi="Arial" w:cs="Arial"/>
          <w:bCs/>
          <w:sz w:val="20"/>
          <w:szCs w:val="20"/>
        </w:rPr>
      </w:pPr>
    </w:p>
    <w:p w14:paraId="2B379BAE" w14:textId="73EABBBB" w:rsidR="00DC69C7" w:rsidRPr="00F82995" w:rsidRDefault="003D3C65">
      <w:pPr>
        <w:spacing w:line="276" w:lineRule="auto"/>
        <w:jc w:val="both"/>
        <w:rPr>
          <w:rFonts w:ascii="Arial" w:hAnsi="Arial" w:cs="Arial"/>
          <w:bCs/>
          <w:sz w:val="20"/>
          <w:szCs w:val="20"/>
        </w:rPr>
      </w:pPr>
      <w:hyperlink r:id="rId8" w:history="1">
        <w:r w:rsidRPr="00F82995">
          <w:rPr>
            <w:rStyle w:val="Collegamentoipertestuale"/>
            <w:rFonts w:ascii="Arial" w:hAnsi="Arial" w:cs="Arial"/>
            <w:bCs/>
            <w:sz w:val="20"/>
            <w:szCs w:val="20"/>
          </w:rPr>
          <w:t>ictconsip@postacert.consip.it</w:t>
        </w:r>
      </w:hyperlink>
    </w:p>
    <w:p w14:paraId="0F5C27AC" w14:textId="77777777" w:rsidR="00DC69C7" w:rsidRPr="00F82995" w:rsidRDefault="00DC69C7">
      <w:pPr>
        <w:spacing w:line="276" w:lineRule="auto"/>
        <w:jc w:val="both"/>
        <w:rPr>
          <w:rFonts w:ascii="Arial" w:hAnsi="Arial" w:cs="Arial"/>
          <w:b/>
          <w:bCs/>
          <w:sz w:val="20"/>
          <w:szCs w:val="20"/>
        </w:rPr>
      </w:pPr>
    </w:p>
    <w:p w14:paraId="6177C9D2" w14:textId="77777777" w:rsidR="00DC69C7" w:rsidRPr="00F82995" w:rsidRDefault="00DC69C7">
      <w:pPr>
        <w:spacing w:line="276" w:lineRule="auto"/>
        <w:jc w:val="both"/>
        <w:rPr>
          <w:rFonts w:ascii="Arial" w:hAnsi="Arial" w:cs="Arial"/>
          <w:bCs/>
          <w:color w:val="FF0000"/>
          <w:sz w:val="20"/>
          <w:szCs w:val="20"/>
        </w:rPr>
      </w:pPr>
    </w:p>
    <w:p w14:paraId="4B8658B4" w14:textId="77777777" w:rsidR="00DC69C7" w:rsidRPr="00F82995" w:rsidRDefault="00DC69C7">
      <w:pPr>
        <w:spacing w:line="276" w:lineRule="auto"/>
        <w:jc w:val="both"/>
        <w:rPr>
          <w:rFonts w:ascii="Arial" w:hAnsi="Arial" w:cs="Arial"/>
          <w:bCs/>
          <w:color w:val="FF0000"/>
          <w:sz w:val="20"/>
          <w:szCs w:val="20"/>
        </w:rPr>
      </w:pPr>
    </w:p>
    <w:p w14:paraId="7C05BBF1" w14:textId="77777777" w:rsidR="00DC69C7" w:rsidRPr="00F82995" w:rsidRDefault="00DC69C7">
      <w:pPr>
        <w:spacing w:line="276" w:lineRule="auto"/>
        <w:jc w:val="both"/>
        <w:rPr>
          <w:rFonts w:ascii="Arial" w:hAnsi="Arial" w:cs="Arial"/>
          <w:bCs/>
          <w:color w:val="FF0000"/>
          <w:sz w:val="20"/>
          <w:szCs w:val="20"/>
        </w:rPr>
      </w:pPr>
    </w:p>
    <w:p w14:paraId="0308027E" w14:textId="77777777" w:rsidR="00DC69C7" w:rsidRPr="00F82995" w:rsidRDefault="00DC69C7">
      <w:pPr>
        <w:spacing w:line="276" w:lineRule="auto"/>
        <w:jc w:val="both"/>
        <w:rPr>
          <w:rFonts w:ascii="Arial" w:hAnsi="Arial" w:cs="Arial"/>
          <w:bCs/>
          <w:color w:val="FF0000"/>
          <w:sz w:val="20"/>
          <w:szCs w:val="20"/>
        </w:rPr>
      </w:pPr>
    </w:p>
    <w:p w14:paraId="65544BA7" w14:textId="70724F37" w:rsidR="00DC69C7" w:rsidRPr="00F82995" w:rsidRDefault="00522FB0">
      <w:pPr>
        <w:spacing w:line="276" w:lineRule="auto"/>
        <w:jc w:val="both"/>
        <w:rPr>
          <w:rFonts w:ascii="Arial" w:hAnsi="Arial" w:cs="Arial"/>
          <w:bCs/>
          <w:color w:val="0070C0"/>
          <w:sz w:val="20"/>
          <w:szCs w:val="20"/>
        </w:rPr>
      </w:pPr>
      <w:r w:rsidRPr="00F82995">
        <w:rPr>
          <w:rFonts w:ascii="Arial" w:hAnsi="Arial" w:cs="Arial"/>
          <w:bCs/>
          <w:sz w:val="20"/>
          <w:szCs w:val="20"/>
        </w:rPr>
        <w:t xml:space="preserve">Roma, </w:t>
      </w:r>
      <w:r w:rsidR="005974F7" w:rsidRPr="00F82995">
        <w:rPr>
          <w:rFonts w:ascii="Arial" w:hAnsi="Arial" w:cs="Arial"/>
          <w:bCs/>
          <w:sz w:val="20"/>
          <w:szCs w:val="20"/>
        </w:rPr>
        <w:t>06/05/2026</w:t>
      </w:r>
    </w:p>
    <w:p w14:paraId="6DE72221" w14:textId="77777777" w:rsidR="00DC69C7" w:rsidRPr="00F82995" w:rsidRDefault="00522FB0">
      <w:pPr>
        <w:pStyle w:val="Corpotesto"/>
        <w:jc w:val="left"/>
        <w:rPr>
          <w:rFonts w:ascii="Arial" w:hAnsi="Arial" w:cs="Arial"/>
          <w:sz w:val="20"/>
        </w:rPr>
      </w:pPr>
      <w:r w:rsidRPr="00F82995">
        <w:rPr>
          <w:rFonts w:ascii="Arial" w:hAnsi="Arial" w:cs="Arial"/>
          <w:sz w:val="20"/>
        </w:rPr>
        <w:br w:type="page"/>
      </w:r>
    </w:p>
    <w:p w14:paraId="32F97E4F" w14:textId="10AEBB63" w:rsidR="00EB5A87" w:rsidRPr="00F82995" w:rsidRDefault="00EB5A87">
      <w:pPr>
        <w:spacing w:before="120" w:after="120" w:line="276" w:lineRule="auto"/>
        <w:jc w:val="both"/>
        <w:rPr>
          <w:rFonts w:ascii="Arial" w:hAnsi="Arial" w:cs="Arial"/>
        </w:rPr>
      </w:pPr>
    </w:p>
    <w:p w14:paraId="57154260" w14:textId="77777777" w:rsidR="00DC69C7" w:rsidRPr="00C66F03" w:rsidRDefault="00522FB0">
      <w:pPr>
        <w:spacing w:line="360" w:lineRule="auto"/>
        <w:rPr>
          <w:rFonts w:ascii="Arial" w:hAnsi="Arial" w:cs="Arial"/>
          <w:b/>
          <w:sz w:val="22"/>
          <w:szCs w:val="22"/>
        </w:rPr>
      </w:pPr>
      <w:r w:rsidRPr="00C66F03">
        <w:rPr>
          <w:rFonts w:ascii="Arial" w:hAnsi="Arial" w:cs="Arial"/>
          <w:b/>
          <w:sz w:val="22"/>
          <w:szCs w:val="22"/>
        </w:rPr>
        <w:t>PREMESSA</w:t>
      </w:r>
    </w:p>
    <w:p w14:paraId="65A0366A" w14:textId="0CA3B532" w:rsidR="00DC69C7" w:rsidRPr="00BD2EB1" w:rsidRDefault="00522FB0">
      <w:pPr>
        <w:spacing w:after="120" w:line="276" w:lineRule="auto"/>
        <w:jc w:val="both"/>
        <w:rPr>
          <w:rFonts w:ascii="Arial" w:hAnsi="Arial" w:cs="Arial"/>
          <w:sz w:val="20"/>
          <w:szCs w:val="20"/>
        </w:rPr>
      </w:pPr>
      <w:r w:rsidRPr="00C66F03">
        <w:rPr>
          <w:rFonts w:ascii="Arial" w:hAnsi="Arial" w:cs="Arial"/>
          <w:sz w:val="20"/>
          <w:szCs w:val="20"/>
        </w:rPr>
        <w:t xml:space="preserve">La presente consultazione di mercato è relativa all’acquisizione di </w:t>
      </w:r>
      <w:r w:rsidR="003D3C65" w:rsidRPr="00BD2EB1">
        <w:rPr>
          <w:rFonts w:ascii="Arial" w:hAnsi="Arial" w:cs="Arial"/>
          <w:sz w:val="20"/>
          <w:szCs w:val="20"/>
        </w:rPr>
        <w:t xml:space="preserve">servizi di banche dati </w:t>
      </w:r>
      <w:r w:rsidR="005471CE" w:rsidRPr="00BD2EB1">
        <w:rPr>
          <w:rFonts w:ascii="Arial" w:hAnsi="Arial" w:cs="Arial"/>
          <w:sz w:val="20"/>
          <w:szCs w:val="20"/>
        </w:rPr>
        <w:t>Gartner</w:t>
      </w:r>
      <w:r w:rsidR="003D3C65" w:rsidRPr="00BD2EB1">
        <w:rPr>
          <w:rFonts w:ascii="Arial" w:hAnsi="Arial" w:cs="Arial"/>
          <w:sz w:val="20"/>
          <w:szCs w:val="20"/>
        </w:rPr>
        <w:t xml:space="preserve"> per il supporto strategico</w:t>
      </w:r>
      <w:r w:rsidR="005471CE" w:rsidRPr="00BD2EB1">
        <w:rPr>
          <w:rFonts w:ascii="Arial" w:hAnsi="Arial" w:cs="Arial"/>
          <w:sz w:val="20"/>
          <w:szCs w:val="20"/>
        </w:rPr>
        <w:t xml:space="preserve"> in ambito ICT</w:t>
      </w:r>
      <w:r w:rsidR="003D3C65" w:rsidRPr="00BD2EB1">
        <w:rPr>
          <w:rFonts w:ascii="Arial" w:hAnsi="Arial" w:cs="Arial"/>
          <w:sz w:val="20"/>
          <w:szCs w:val="20"/>
        </w:rPr>
        <w:t xml:space="preserve"> per Sogei.</w:t>
      </w:r>
    </w:p>
    <w:p w14:paraId="4E545CAB" w14:textId="77777777" w:rsidR="00DC69C7" w:rsidRPr="00C66F03" w:rsidRDefault="00522FB0">
      <w:pPr>
        <w:spacing w:after="120" w:line="276" w:lineRule="auto"/>
        <w:jc w:val="both"/>
        <w:rPr>
          <w:rFonts w:ascii="Arial" w:hAnsi="Arial" w:cs="Arial"/>
          <w:sz w:val="20"/>
          <w:szCs w:val="20"/>
        </w:rPr>
      </w:pPr>
      <w:r w:rsidRPr="00C66F03">
        <w:rPr>
          <w:rFonts w:ascii="Arial" w:hAnsi="Arial" w:cs="Arial"/>
          <w:sz w:val="20"/>
          <w:szCs w:val="20"/>
        </w:rPr>
        <w:t>I requisiti e le caratteristiche tecniche e/o funzionali sono meglio specificati nel corpo del presente documento.</w:t>
      </w:r>
    </w:p>
    <w:p w14:paraId="1573F5FF" w14:textId="77777777" w:rsidR="00DC69C7" w:rsidRPr="00C66F03" w:rsidRDefault="00522FB0">
      <w:pPr>
        <w:pStyle w:val="Corpodeltesto21"/>
        <w:spacing w:after="120" w:line="276" w:lineRule="auto"/>
        <w:rPr>
          <w:rFonts w:ascii="Arial" w:hAnsi="Arial" w:cs="Arial"/>
          <w:sz w:val="20"/>
          <w:szCs w:val="20"/>
        </w:rPr>
      </w:pPr>
      <w:r w:rsidRPr="00C66F03">
        <w:rPr>
          <w:rFonts w:ascii="Arial" w:hAnsi="Arial" w:cs="Arial"/>
          <w:sz w:val="20"/>
          <w:szCs w:val="20"/>
        </w:rPr>
        <w:t>Consip S.p.A. informa pertanto il mercato della fornitura circa gli elementi di seguito riportati, con l’obiettivo di:</w:t>
      </w:r>
    </w:p>
    <w:p w14:paraId="1CB1045E" w14:textId="77777777" w:rsidR="00DC69C7" w:rsidRPr="00C66F03"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C66F03">
        <w:rPr>
          <w:rFonts w:ascii="Arial" w:hAnsi="Arial" w:cs="Arial"/>
          <w:sz w:val="20"/>
          <w:szCs w:val="20"/>
        </w:rPr>
        <w:t>garantire la massima pubblicità all’iniziativa per assicurare la più ampia diffusione delle informazioni ed un celere svolgimento delle procedure di acquisto;</w:t>
      </w:r>
    </w:p>
    <w:p w14:paraId="4E013DA0" w14:textId="687D033B" w:rsidR="00DC69C7" w:rsidRPr="00C66F03"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C66F03">
        <w:rPr>
          <w:rFonts w:ascii="Arial" w:hAnsi="Arial" w:cs="Arial"/>
          <w:sz w:val="20"/>
          <w:szCs w:val="20"/>
        </w:rPr>
        <w:t xml:space="preserve">verificare </w:t>
      </w:r>
      <w:r w:rsidR="00484C96" w:rsidRPr="00C66F03">
        <w:rPr>
          <w:rFonts w:ascii="Arial" w:hAnsi="Arial" w:cs="Arial"/>
          <w:sz w:val="20"/>
          <w:szCs w:val="20"/>
        </w:rPr>
        <w:t xml:space="preserve">l’eventuale </w:t>
      </w:r>
      <w:r w:rsidRPr="00C66F03">
        <w:rPr>
          <w:rFonts w:ascii="Arial" w:hAnsi="Arial" w:cs="Arial"/>
          <w:sz w:val="20"/>
          <w:szCs w:val="20"/>
        </w:rPr>
        <w:t xml:space="preserve">esistenza di </w:t>
      </w:r>
      <w:r w:rsidR="00484C96" w:rsidRPr="00C66F03">
        <w:rPr>
          <w:rFonts w:ascii="Arial" w:hAnsi="Arial" w:cs="Arial"/>
          <w:sz w:val="20"/>
          <w:szCs w:val="20"/>
        </w:rPr>
        <w:t xml:space="preserve">altri </w:t>
      </w:r>
      <w:r w:rsidRPr="00C66F03">
        <w:rPr>
          <w:rFonts w:ascii="Arial" w:hAnsi="Arial" w:cs="Arial"/>
          <w:sz w:val="20"/>
          <w:szCs w:val="20"/>
        </w:rPr>
        <w:t>operatori economici potenzialmente interessati;</w:t>
      </w:r>
    </w:p>
    <w:p w14:paraId="20A5F4CD" w14:textId="77777777" w:rsidR="00DC69C7" w:rsidRPr="00C66F03"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C66F03">
        <w:rPr>
          <w:rFonts w:ascii="Arial" w:hAnsi="Arial" w:cs="Arial"/>
          <w:sz w:val="20"/>
          <w:szCs w:val="20"/>
        </w:rPr>
        <w:t>pubblicizzare al meglio le caratteristiche qualitative e tecniche dei beni e servizi oggetto di analisi;</w:t>
      </w:r>
    </w:p>
    <w:p w14:paraId="19AD0F80" w14:textId="77777777" w:rsidR="00DC69C7" w:rsidRPr="00C66F03"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C66F03">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BAC37D3" w:rsidR="00DC69C7" w:rsidRPr="00C66F03" w:rsidRDefault="00522FB0">
      <w:pPr>
        <w:spacing w:before="120" w:after="120" w:line="276" w:lineRule="auto"/>
        <w:jc w:val="both"/>
        <w:rPr>
          <w:rFonts w:ascii="Arial" w:hAnsi="Arial" w:cs="Arial"/>
          <w:sz w:val="20"/>
          <w:szCs w:val="20"/>
        </w:rPr>
      </w:pPr>
      <w:r w:rsidRPr="00C66F03">
        <w:rPr>
          <w:rFonts w:ascii="Arial" w:hAnsi="Arial" w:cs="Arial"/>
          <w:sz w:val="20"/>
          <w:szCs w:val="20"/>
        </w:rPr>
        <w:t xml:space="preserve">Ciò anche al fine di confermare o meno l’esistenza dei presupposti che consentono ai sensi </w:t>
      </w:r>
      <w:r w:rsidR="00EE2486" w:rsidRPr="00C66F03">
        <w:rPr>
          <w:rFonts w:ascii="Arial" w:hAnsi="Arial" w:cs="Arial"/>
          <w:sz w:val="20"/>
          <w:szCs w:val="20"/>
        </w:rPr>
        <w:t>dell’art. 76 del Dlgs 36/</w:t>
      </w:r>
      <w:r w:rsidR="00BD2EB1" w:rsidRPr="00C66F03">
        <w:rPr>
          <w:rFonts w:ascii="Arial" w:hAnsi="Arial" w:cs="Arial"/>
          <w:sz w:val="20"/>
          <w:szCs w:val="20"/>
        </w:rPr>
        <w:t>2023 il</w:t>
      </w:r>
      <w:r w:rsidRPr="00C66F03">
        <w:rPr>
          <w:rFonts w:ascii="Arial" w:hAnsi="Arial" w:cs="Arial"/>
          <w:sz w:val="20"/>
          <w:szCs w:val="20"/>
        </w:rPr>
        <w:t xml:space="preserve"> ricorso alla procedura negoziata senza pubblicazione del bando. </w:t>
      </w:r>
    </w:p>
    <w:p w14:paraId="5322FE52" w14:textId="5B26DEC3" w:rsidR="00DC69C7" w:rsidRPr="00BD2EB1" w:rsidRDefault="00522FB0">
      <w:pPr>
        <w:spacing w:before="120" w:after="120" w:line="276" w:lineRule="auto"/>
        <w:jc w:val="both"/>
        <w:rPr>
          <w:rFonts w:ascii="Arial" w:hAnsi="Arial" w:cs="Arial"/>
          <w:i/>
          <w:sz w:val="20"/>
          <w:szCs w:val="20"/>
        </w:rPr>
      </w:pPr>
      <w:r w:rsidRPr="00C66F03">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C66F03">
        <w:rPr>
          <w:rFonts w:ascii="Arial" w:hAnsi="Arial" w:cs="Arial"/>
          <w:b/>
          <w:bCs/>
          <w:sz w:val="20"/>
          <w:szCs w:val="20"/>
          <w:u w:val="single"/>
        </w:rPr>
        <w:t>15 giorni solari</w:t>
      </w:r>
      <w:r w:rsidRPr="00C66F03">
        <w:rPr>
          <w:rFonts w:ascii="Arial" w:hAnsi="Arial" w:cs="Arial"/>
          <w:bCs/>
          <w:sz w:val="20"/>
          <w:szCs w:val="20"/>
          <w:u w:val="single"/>
        </w:rPr>
        <w:t xml:space="preserve"> dalla data odierna</w:t>
      </w:r>
      <w:r w:rsidRPr="00C66F03">
        <w:rPr>
          <w:rFonts w:ascii="Arial" w:hAnsi="Arial" w:cs="Arial"/>
          <w:bCs/>
          <w:color w:val="FF0000"/>
          <w:sz w:val="20"/>
          <w:szCs w:val="20"/>
        </w:rPr>
        <w:t xml:space="preserve"> </w:t>
      </w:r>
      <w:r w:rsidRPr="00C66F03">
        <w:rPr>
          <w:rFonts w:ascii="Arial" w:hAnsi="Arial" w:cs="Arial"/>
          <w:bCs/>
          <w:sz w:val="20"/>
          <w:szCs w:val="20"/>
        </w:rPr>
        <w:t xml:space="preserve">all’indirizzo PEC </w:t>
      </w:r>
      <w:r w:rsidR="00484C96" w:rsidRPr="00C75AD7">
        <w:rPr>
          <w:rStyle w:val="Collegamentoipertestuale"/>
          <w:rFonts w:ascii="Arial" w:hAnsi="Arial" w:cs="Arial"/>
          <w:sz w:val="20"/>
          <w:szCs w:val="20"/>
        </w:rPr>
        <w:t>ictconsip@postacert.consip.it</w:t>
      </w:r>
      <w:r w:rsidRPr="00C66F03">
        <w:rPr>
          <w:rFonts w:ascii="Arial" w:hAnsi="Arial" w:cs="Arial"/>
          <w:bCs/>
          <w:sz w:val="20"/>
          <w:szCs w:val="20"/>
        </w:rPr>
        <w:t xml:space="preserve"> </w:t>
      </w:r>
      <w:r w:rsidRPr="00BD2EB1">
        <w:rPr>
          <w:rFonts w:ascii="Arial" w:hAnsi="Arial" w:cs="Arial"/>
          <w:sz w:val="20"/>
          <w:szCs w:val="20"/>
        </w:rPr>
        <w:t xml:space="preserve">specificando nell’oggetto della e-mail: </w:t>
      </w:r>
      <w:r w:rsidR="00EE2486" w:rsidRPr="00BD2EB1">
        <w:rPr>
          <w:rFonts w:ascii="Arial" w:hAnsi="Arial" w:cs="Arial"/>
          <w:sz w:val="20"/>
          <w:szCs w:val="20"/>
        </w:rPr>
        <w:t>“</w:t>
      </w:r>
      <w:r w:rsidR="00484C96" w:rsidRPr="00BD2EB1">
        <w:rPr>
          <w:rFonts w:ascii="Arial" w:hAnsi="Arial" w:cs="Arial"/>
          <w:sz w:val="20"/>
          <w:szCs w:val="20"/>
        </w:rPr>
        <w:t xml:space="preserve">Acquisizione dei servizi di banche dati </w:t>
      </w:r>
      <w:r w:rsidR="005471CE" w:rsidRPr="00BD2EB1">
        <w:rPr>
          <w:rFonts w:ascii="Arial" w:hAnsi="Arial" w:cs="Arial"/>
          <w:sz w:val="20"/>
          <w:szCs w:val="20"/>
        </w:rPr>
        <w:t xml:space="preserve">Gartner </w:t>
      </w:r>
      <w:r w:rsidR="00484C96" w:rsidRPr="00BD2EB1">
        <w:rPr>
          <w:rFonts w:ascii="Arial" w:hAnsi="Arial" w:cs="Arial"/>
          <w:sz w:val="20"/>
          <w:szCs w:val="20"/>
        </w:rPr>
        <w:t>per il supporto strategico in ambito ICT</w:t>
      </w:r>
      <w:r w:rsidR="00FD2517" w:rsidRPr="00BD2EB1">
        <w:rPr>
          <w:rFonts w:ascii="Arial" w:hAnsi="Arial" w:cs="Arial"/>
          <w:sz w:val="20"/>
          <w:szCs w:val="20"/>
        </w:rPr>
        <w:t xml:space="preserve"> per Sogei</w:t>
      </w:r>
      <w:r w:rsidR="00484C96" w:rsidRPr="00BD2EB1">
        <w:rPr>
          <w:rFonts w:ascii="Arial" w:hAnsi="Arial" w:cs="Arial"/>
          <w:sz w:val="20"/>
          <w:szCs w:val="20"/>
        </w:rPr>
        <w:t xml:space="preserve"> – ID 30</w:t>
      </w:r>
      <w:r w:rsidR="00CF452D" w:rsidRPr="00BD2EB1">
        <w:rPr>
          <w:rFonts w:ascii="Arial" w:hAnsi="Arial" w:cs="Arial"/>
          <w:sz w:val="20"/>
          <w:szCs w:val="20"/>
        </w:rPr>
        <w:t>10</w:t>
      </w:r>
      <w:r w:rsidRPr="00BD2EB1">
        <w:rPr>
          <w:rFonts w:ascii="Arial" w:hAnsi="Arial" w:cs="Arial"/>
          <w:sz w:val="20"/>
          <w:szCs w:val="20"/>
        </w:rPr>
        <w:t>”.</w:t>
      </w:r>
    </w:p>
    <w:p w14:paraId="00838222" w14:textId="77777777" w:rsidR="00DC69C7" w:rsidRPr="00C66F03" w:rsidRDefault="00522FB0">
      <w:pPr>
        <w:spacing w:before="120" w:after="120" w:line="276" w:lineRule="auto"/>
        <w:jc w:val="both"/>
        <w:rPr>
          <w:rFonts w:ascii="Arial" w:hAnsi="Arial" w:cs="Arial"/>
          <w:sz w:val="20"/>
          <w:szCs w:val="20"/>
        </w:rPr>
      </w:pPr>
      <w:r w:rsidRPr="00C66F03">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C66F03" w:rsidRDefault="00522FB0">
      <w:pPr>
        <w:spacing w:after="120" w:line="276" w:lineRule="auto"/>
        <w:jc w:val="both"/>
        <w:rPr>
          <w:rFonts w:ascii="Arial" w:hAnsi="Arial" w:cs="Arial"/>
          <w:sz w:val="20"/>
          <w:szCs w:val="20"/>
        </w:rPr>
      </w:pPr>
      <w:r w:rsidRPr="00C66F03">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C66F03" w:rsidRDefault="00522FB0">
      <w:pPr>
        <w:pStyle w:val="Titolo1"/>
        <w:numPr>
          <w:ilvl w:val="0"/>
          <w:numId w:val="0"/>
        </w:numPr>
        <w:spacing w:line="276" w:lineRule="auto"/>
        <w:rPr>
          <w:rFonts w:cs="Arial"/>
          <w:sz w:val="24"/>
        </w:rPr>
      </w:pPr>
      <w:r w:rsidRPr="00C66F03">
        <w:rPr>
          <w:rFonts w:cs="Arial"/>
          <w:sz w:val="20"/>
          <w:szCs w:val="20"/>
        </w:rPr>
        <w:t>L’invio del documento al nostro recapito implica il consenso al trattamento dei dati forniti.</w:t>
      </w:r>
      <w:r w:rsidRPr="00C66F03">
        <w:rPr>
          <w:rFonts w:cs="Arial"/>
          <w:sz w:val="20"/>
          <w:szCs w:val="20"/>
        </w:rPr>
        <w:br w:type="page"/>
      </w:r>
      <w:r w:rsidRPr="00C66F03">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C66F03" w14:paraId="67B9BABB" w14:textId="77777777">
        <w:tc>
          <w:tcPr>
            <w:tcW w:w="3321" w:type="dxa"/>
            <w:vAlign w:val="center"/>
          </w:tcPr>
          <w:p w14:paraId="55719183"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Azienda</w:t>
            </w:r>
          </w:p>
        </w:tc>
        <w:tc>
          <w:tcPr>
            <w:tcW w:w="5174" w:type="dxa"/>
          </w:tcPr>
          <w:p w14:paraId="00E83805"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3F485B78" w14:textId="77777777">
        <w:tc>
          <w:tcPr>
            <w:tcW w:w="3321" w:type="dxa"/>
            <w:vAlign w:val="center"/>
          </w:tcPr>
          <w:p w14:paraId="5B3D8A80"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 xml:space="preserve">Indirizzo </w:t>
            </w:r>
          </w:p>
        </w:tc>
        <w:tc>
          <w:tcPr>
            <w:tcW w:w="5174" w:type="dxa"/>
          </w:tcPr>
          <w:p w14:paraId="62F72B63"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5952A7E4" w14:textId="77777777">
        <w:tc>
          <w:tcPr>
            <w:tcW w:w="3321" w:type="dxa"/>
            <w:vAlign w:val="center"/>
          </w:tcPr>
          <w:p w14:paraId="55E9D0A7"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Nome e Cognome del referente</w:t>
            </w:r>
          </w:p>
        </w:tc>
        <w:tc>
          <w:tcPr>
            <w:tcW w:w="5174" w:type="dxa"/>
          </w:tcPr>
          <w:p w14:paraId="05F66A24"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73A2F477" w14:textId="77777777">
        <w:tc>
          <w:tcPr>
            <w:tcW w:w="3321" w:type="dxa"/>
            <w:vAlign w:val="center"/>
          </w:tcPr>
          <w:p w14:paraId="52FFB43D"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Ruolo in azienda</w:t>
            </w:r>
          </w:p>
        </w:tc>
        <w:tc>
          <w:tcPr>
            <w:tcW w:w="5174" w:type="dxa"/>
          </w:tcPr>
          <w:p w14:paraId="36B25CE8"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0AADFB7B" w14:textId="77777777">
        <w:tc>
          <w:tcPr>
            <w:tcW w:w="3321" w:type="dxa"/>
            <w:vAlign w:val="center"/>
          </w:tcPr>
          <w:p w14:paraId="4D895E4F"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 xml:space="preserve">Telefono </w:t>
            </w:r>
          </w:p>
        </w:tc>
        <w:tc>
          <w:tcPr>
            <w:tcW w:w="5174" w:type="dxa"/>
          </w:tcPr>
          <w:p w14:paraId="29F3D7E3"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79472000" w14:textId="77777777">
        <w:tc>
          <w:tcPr>
            <w:tcW w:w="3321" w:type="dxa"/>
            <w:vAlign w:val="center"/>
          </w:tcPr>
          <w:p w14:paraId="4F955342"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Fax</w:t>
            </w:r>
          </w:p>
        </w:tc>
        <w:tc>
          <w:tcPr>
            <w:tcW w:w="5174" w:type="dxa"/>
          </w:tcPr>
          <w:p w14:paraId="2EA7DFF2"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303F8558" w14:textId="77777777">
        <w:tc>
          <w:tcPr>
            <w:tcW w:w="3321" w:type="dxa"/>
            <w:vAlign w:val="center"/>
          </w:tcPr>
          <w:p w14:paraId="38A39F14"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Indirizzo e-mail</w:t>
            </w:r>
          </w:p>
        </w:tc>
        <w:tc>
          <w:tcPr>
            <w:tcW w:w="5174" w:type="dxa"/>
          </w:tcPr>
          <w:p w14:paraId="781A9E80"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C66F03" w14:paraId="2C645D55" w14:textId="77777777">
        <w:tc>
          <w:tcPr>
            <w:tcW w:w="3321" w:type="dxa"/>
            <w:vAlign w:val="center"/>
          </w:tcPr>
          <w:p w14:paraId="0FEB49BA" w14:textId="77777777" w:rsidR="00DC69C7" w:rsidRPr="00C66F0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C66F03">
              <w:rPr>
                <w:rFonts w:ascii="Arial" w:hAnsi="Arial" w:cs="Arial"/>
                <w:i/>
                <w:sz w:val="20"/>
                <w:szCs w:val="20"/>
              </w:rPr>
              <w:t>Data compilazione</w:t>
            </w:r>
          </w:p>
        </w:tc>
        <w:tc>
          <w:tcPr>
            <w:tcW w:w="5174" w:type="dxa"/>
          </w:tcPr>
          <w:p w14:paraId="5078265B" w14:textId="77777777" w:rsidR="00DC69C7" w:rsidRPr="00C66F0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C66F03" w:rsidRDefault="00DC69C7">
      <w:pPr>
        <w:pStyle w:val="Titolo1"/>
        <w:numPr>
          <w:ilvl w:val="0"/>
          <w:numId w:val="0"/>
        </w:numPr>
        <w:jc w:val="both"/>
        <w:rPr>
          <w:rFonts w:cs="Arial"/>
          <w:i/>
          <w:sz w:val="20"/>
          <w:szCs w:val="20"/>
        </w:rPr>
      </w:pPr>
    </w:p>
    <w:p w14:paraId="1322EA91" w14:textId="77777777" w:rsidR="00DC69C7" w:rsidRPr="00C66F03" w:rsidRDefault="00522FB0">
      <w:pPr>
        <w:pStyle w:val="Titolo1"/>
        <w:numPr>
          <w:ilvl w:val="0"/>
          <w:numId w:val="0"/>
        </w:numPr>
        <w:spacing w:before="0" w:after="0" w:line="360" w:lineRule="auto"/>
        <w:jc w:val="both"/>
        <w:rPr>
          <w:rFonts w:cs="Arial"/>
          <w:i/>
          <w:sz w:val="20"/>
          <w:szCs w:val="20"/>
        </w:rPr>
      </w:pPr>
      <w:r w:rsidRPr="00C66F03">
        <w:rPr>
          <w:rFonts w:cs="Arial"/>
          <w:i/>
          <w:sz w:val="20"/>
          <w:szCs w:val="20"/>
        </w:rPr>
        <w:t>Informativa sul trattamento dei dati personali</w:t>
      </w:r>
    </w:p>
    <w:p w14:paraId="3D8D73F9"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C66F03" w:rsidRDefault="00DC69C7">
      <w:pPr>
        <w:spacing w:line="276" w:lineRule="auto"/>
        <w:jc w:val="both"/>
        <w:rPr>
          <w:rFonts w:ascii="Arial" w:hAnsi="Arial" w:cs="Arial"/>
          <w:sz w:val="20"/>
          <w:szCs w:val="20"/>
        </w:rPr>
      </w:pPr>
    </w:p>
    <w:p w14:paraId="7DCE7EEA"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C66F03" w:rsidRDefault="00DC69C7">
      <w:pPr>
        <w:spacing w:line="276" w:lineRule="auto"/>
        <w:jc w:val="both"/>
        <w:rPr>
          <w:rFonts w:ascii="Arial" w:hAnsi="Arial" w:cs="Arial"/>
          <w:sz w:val="20"/>
          <w:szCs w:val="20"/>
        </w:rPr>
      </w:pPr>
    </w:p>
    <w:p w14:paraId="458DA149"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C66F03" w:rsidRDefault="00DC69C7">
      <w:pPr>
        <w:spacing w:line="276" w:lineRule="auto"/>
        <w:jc w:val="both"/>
        <w:rPr>
          <w:rFonts w:ascii="Arial" w:hAnsi="Arial" w:cs="Arial"/>
          <w:sz w:val="20"/>
          <w:szCs w:val="20"/>
        </w:rPr>
      </w:pPr>
    </w:p>
    <w:p w14:paraId="445896C7"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C66F03">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4883163D" w14:textId="77777777"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L’invio a Consip S.p.A. del Documento di Consultazione del mercato implica il consenso al trattamento dei Dati personali forniti.</w:t>
      </w:r>
    </w:p>
    <w:p w14:paraId="67F90E34" w14:textId="77777777" w:rsidR="00DC69C7" w:rsidRPr="00C66F03" w:rsidRDefault="00DC69C7">
      <w:pPr>
        <w:spacing w:line="276" w:lineRule="auto"/>
        <w:jc w:val="both"/>
        <w:rPr>
          <w:rFonts w:ascii="Arial" w:hAnsi="Arial" w:cs="Arial"/>
          <w:sz w:val="20"/>
          <w:szCs w:val="20"/>
        </w:rPr>
      </w:pPr>
    </w:p>
    <w:p w14:paraId="58A2DE3F" w14:textId="3A886574" w:rsidR="00DC69C7" w:rsidRPr="00C66F03" w:rsidRDefault="00522FB0">
      <w:pPr>
        <w:spacing w:line="276" w:lineRule="auto"/>
        <w:jc w:val="both"/>
        <w:rPr>
          <w:rFonts w:ascii="Arial" w:hAnsi="Arial" w:cs="Arial"/>
          <w:sz w:val="20"/>
          <w:szCs w:val="20"/>
        </w:rPr>
      </w:pPr>
      <w:r w:rsidRPr="00C66F03">
        <w:rPr>
          <w:rFonts w:ascii="Arial" w:hAnsi="Arial" w:cs="Arial"/>
          <w:sz w:val="20"/>
          <w:szCs w:val="20"/>
        </w:rPr>
        <w:t>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w:t>
      </w:r>
      <w:r w:rsidR="00494DEF" w:rsidRPr="00C66F03">
        <w:rPr>
          <w:rFonts w:ascii="Arial" w:hAnsi="Arial" w:cs="Arial"/>
          <w:sz w:val="20"/>
          <w:szCs w:val="20"/>
        </w:rPr>
        <w:t>:</w:t>
      </w:r>
      <w:r w:rsidRPr="00C66F03">
        <w:rPr>
          <w:rFonts w:ascii="Arial" w:hAnsi="Arial" w:cs="Arial"/>
          <w:sz w:val="20"/>
          <w:szCs w:val="20"/>
        </w:rPr>
        <w:t xml:space="preserve"> </w:t>
      </w:r>
      <w:hyperlink r:id="rId9" w:history="1">
        <w:r w:rsidR="00494DEF" w:rsidRPr="00C66F03">
          <w:rPr>
            <w:rStyle w:val="Collegamentoipertestuale"/>
            <w:rFonts w:ascii="Arial" w:hAnsi="Arial" w:cs="Arial"/>
            <w:sz w:val="20"/>
            <w:szCs w:val="20"/>
          </w:rPr>
          <w:t>esercizio.diritti.privacy@consip.it</w:t>
        </w:r>
      </w:hyperlink>
      <w:r w:rsidR="00494DEF" w:rsidRPr="00C66F03">
        <w:rPr>
          <w:rFonts w:ascii="Arial" w:hAnsi="Arial" w:cs="Arial"/>
          <w:sz w:val="20"/>
          <w:szCs w:val="20"/>
        </w:rPr>
        <w:t xml:space="preserve"> </w:t>
      </w:r>
      <w:r w:rsidRPr="00C66F03">
        <w:rPr>
          <w:rFonts w:ascii="Arial" w:hAnsi="Arial" w:cs="Arial"/>
          <w:sz w:val="20"/>
          <w:szCs w:val="20"/>
        </w:rPr>
        <w:t xml:space="preserve">. </w:t>
      </w:r>
    </w:p>
    <w:p w14:paraId="7B34EC4D" w14:textId="77777777" w:rsidR="00DC69C7" w:rsidRPr="00C66F03" w:rsidRDefault="00522FB0">
      <w:pPr>
        <w:rPr>
          <w:rFonts w:ascii="Arial" w:hAnsi="Arial" w:cs="Arial"/>
          <w:b/>
        </w:rPr>
      </w:pPr>
      <w:r w:rsidRPr="00C66F03">
        <w:rPr>
          <w:rFonts w:ascii="Arial" w:hAnsi="Arial" w:cs="Arial"/>
        </w:rPr>
        <w:br w:type="page"/>
      </w:r>
    </w:p>
    <w:p w14:paraId="385A48E0" w14:textId="77777777" w:rsidR="00DC69C7" w:rsidRPr="00C66F03" w:rsidRDefault="00522FB0">
      <w:pPr>
        <w:pStyle w:val="Titolo1"/>
        <w:numPr>
          <w:ilvl w:val="0"/>
          <w:numId w:val="0"/>
        </w:numPr>
        <w:rPr>
          <w:rFonts w:cs="Arial"/>
          <w:szCs w:val="22"/>
        </w:rPr>
      </w:pPr>
      <w:r w:rsidRPr="00C66F03">
        <w:rPr>
          <w:rFonts w:cs="Arial"/>
          <w:szCs w:val="22"/>
        </w:rPr>
        <w:lastRenderedPageBreak/>
        <w:t>Oggetto dell’iniziativa</w:t>
      </w:r>
    </w:p>
    <w:p w14:paraId="339AA387" w14:textId="77777777" w:rsidR="005471CE" w:rsidRPr="00BD2EB1" w:rsidRDefault="005471CE" w:rsidP="005471CE">
      <w:pPr>
        <w:pStyle w:val="NormaleWeb"/>
        <w:spacing w:before="120" w:beforeAutospacing="0" w:after="120" w:afterAutospacing="0" w:line="276" w:lineRule="auto"/>
        <w:jc w:val="both"/>
        <w:rPr>
          <w:rFonts w:ascii="Arial" w:hAnsi="Arial" w:cs="Arial"/>
          <w:sz w:val="20"/>
          <w:szCs w:val="20"/>
        </w:rPr>
      </w:pPr>
      <w:r w:rsidRPr="00BD2EB1">
        <w:rPr>
          <w:rFonts w:ascii="Arial" w:hAnsi="Arial" w:cs="Arial"/>
          <w:sz w:val="20"/>
          <w:szCs w:val="20"/>
        </w:rPr>
        <w:t xml:space="preserve">Il sistema informativo gestito da Sogei è il maggiore sistema informativo della Pubblica amministrazione italiana ed Europea; fornisce servizi informatici per i Ministeri dell’Economia (Agenzie fiscali comprese), degli Interni, della Salute, per la Guardia di Finanza, MIM e per la </w:t>
      </w:r>
      <w:proofErr w:type="gramStart"/>
      <w:r w:rsidRPr="00BD2EB1">
        <w:rPr>
          <w:rFonts w:ascii="Arial" w:hAnsi="Arial" w:cs="Arial"/>
          <w:sz w:val="20"/>
          <w:szCs w:val="20"/>
        </w:rPr>
        <w:t>Corte dei Conti</w:t>
      </w:r>
      <w:proofErr w:type="gramEnd"/>
      <w:r w:rsidRPr="00BD2EB1">
        <w:rPr>
          <w:rFonts w:ascii="Arial" w:hAnsi="Arial" w:cs="Arial"/>
          <w:sz w:val="20"/>
          <w:szCs w:val="20"/>
        </w:rPr>
        <w:t xml:space="preserve">. </w:t>
      </w:r>
    </w:p>
    <w:p w14:paraId="6F6CF694" w14:textId="77777777" w:rsidR="005471CE" w:rsidRPr="00BD2EB1" w:rsidRDefault="005471CE" w:rsidP="005471CE">
      <w:pPr>
        <w:pStyle w:val="NormaleWeb"/>
        <w:spacing w:before="120" w:after="120" w:line="276" w:lineRule="auto"/>
        <w:jc w:val="both"/>
        <w:rPr>
          <w:rFonts w:ascii="Arial" w:hAnsi="Arial" w:cs="Arial"/>
          <w:sz w:val="20"/>
          <w:szCs w:val="20"/>
        </w:rPr>
      </w:pPr>
      <w:r w:rsidRPr="00BD2EB1">
        <w:rPr>
          <w:rFonts w:ascii="Arial" w:hAnsi="Arial" w:cs="Arial"/>
          <w:sz w:val="20"/>
          <w:szCs w:val="20"/>
        </w:rPr>
        <w:t xml:space="preserve">Sogei è coinvolta in progetti di rilevanza nazionale per i quali progetta, realizza e gestisce l’infrastruttura informatica fornendo, inoltre, servizi ai cittadini italiani. </w:t>
      </w:r>
    </w:p>
    <w:p w14:paraId="1F06BA60" w14:textId="71EF47D5" w:rsidR="005471CE" w:rsidRPr="00BD2EB1" w:rsidRDefault="005471CE">
      <w:pPr>
        <w:pStyle w:val="NormaleWeb"/>
        <w:spacing w:before="120" w:beforeAutospacing="0" w:after="0" w:afterAutospacing="0" w:line="276" w:lineRule="auto"/>
        <w:jc w:val="both"/>
        <w:rPr>
          <w:rFonts w:ascii="Arial" w:hAnsi="Arial" w:cs="Arial"/>
          <w:sz w:val="20"/>
          <w:szCs w:val="20"/>
        </w:rPr>
      </w:pPr>
      <w:r w:rsidRPr="00BD2EB1">
        <w:rPr>
          <w:rFonts w:ascii="Arial" w:hAnsi="Arial" w:cs="Arial"/>
          <w:sz w:val="20"/>
          <w:szCs w:val="20"/>
        </w:rPr>
        <w:t>Entro tale contesto, vista la complessità dell'Information Technology, ecosistema in continua evoluzione, per effettuare le opportune scelte occorre una visione e una approfondita conoscenza di quanto si muove nel mondo dell’IT che non è possibile</w:t>
      </w:r>
      <w:r w:rsidR="000B1A8F" w:rsidRPr="00BD2EB1">
        <w:rPr>
          <w:rFonts w:ascii="Arial" w:hAnsi="Arial" w:cs="Arial"/>
          <w:sz w:val="20"/>
          <w:szCs w:val="20"/>
        </w:rPr>
        <w:t>,</w:t>
      </w:r>
      <w:r w:rsidRPr="00BD2EB1">
        <w:rPr>
          <w:rFonts w:ascii="Arial" w:hAnsi="Arial" w:cs="Arial"/>
          <w:sz w:val="20"/>
          <w:szCs w:val="20"/>
        </w:rPr>
        <w:t xml:space="preserve"> né economico, sviluppare internamente da dati “grezzi” da reperire, eventualmente, a livello mondiale.</w:t>
      </w:r>
    </w:p>
    <w:p w14:paraId="234300AF" w14:textId="77777777" w:rsidR="001F17FB" w:rsidRPr="00BD2EB1" w:rsidRDefault="001F17FB">
      <w:pPr>
        <w:pStyle w:val="NormaleWeb"/>
        <w:spacing w:before="120" w:beforeAutospacing="0" w:after="0" w:afterAutospacing="0" w:line="276" w:lineRule="auto"/>
        <w:jc w:val="both"/>
        <w:rPr>
          <w:rFonts w:ascii="Arial" w:hAnsi="Arial" w:cs="Arial"/>
          <w:sz w:val="20"/>
          <w:szCs w:val="20"/>
        </w:rPr>
      </w:pPr>
      <w:r w:rsidRPr="00BD2EB1">
        <w:rPr>
          <w:rFonts w:ascii="Arial" w:hAnsi="Arial" w:cs="Arial"/>
          <w:sz w:val="20"/>
          <w:szCs w:val="20"/>
        </w:rPr>
        <w:t xml:space="preserve">In particolare, si evidenzia che il ricorso alla ricerca e analisi Gartner consente di disporre di un aggiornamento continuo e autorevole sulle evoluzioni del mercato ICT, riducendo il rischio che le informazioni utilizzate a supporto delle decisioni (progettuali, architetturali e metodologiche, nonché di acquisizione di beni e servizi IT) siano parziali o influenzate dai fornitori di tecnologia. </w:t>
      </w:r>
    </w:p>
    <w:p w14:paraId="0FC1972B" w14:textId="77777777" w:rsidR="001F17FB" w:rsidRPr="00BD2EB1" w:rsidRDefault="001F17FB">
      <w:pPr>
        <w:pStyle w:val="NormaleWeb"/>
        <w:spacing w:before="120" w:beforeAutospacing="0" w:after="0" w:afterAutospacing="0" w:line="276" w:lineRule="auto"/>
        <w:jc w:val="both"/>
        <w:rPr>
          <w:rFonts w:ascii="Arial" w:hAnsi="Arial" w:cs="Arial"/>
          <w:sz w:val="20"/>
          <w:szCs w:val="20"/>
        </w:rPr>
      </w:pPr>
      <w:r w:rsidRPr="00BD2EB1">
        <w:rPr>
          <w:rFonts w:ascii="Arial" w:hAnsi="Arial" w:cs="Arial"/>
          <w:sz w:val="20"/>
          <w:szCs w:val="20"/>
        </w:rPr>
        <w:t xml:space="preserve">Inoltre, si richiede che il servizio sia erogato da un operatore indipendente e terzo rispetto ai rivenditori e/o produttori (assenza di vendita/consulenza/ricerche “ad hoc” sponsorizzate), con analisti dedicati full time e vincolati a regole di integrità e assenza di conflitti di interesse. </w:t>
      </w:r>
    </w:p>
    <w:p w14:paraId="4C86E1F2" w14:textId="6F50F485" w:rsidR="001F17FB" w:rsidRPr="00BD2EB1" w:rsidRDefault="001F17FB">
      <w:pPr>
        <w:pStyle w:val="NormaleWeb"/>
        <w:spacing w:before="120" w:beforeAutospacing="0" w:after="0" w:afterAutospacing="0" w:line="276" w:lineRule="auto"/>
        <w:jc w:val="both"/>
        <w:rPr>
          <w:rFonts w:ascii="Arial" w:hAnsi="Arial" w:cs="Arial"/>
        </w:rPr>
      </w:pPr>
      <w:r w:rsidRPr="00BD2EB1">
        <w:rPr>
          <w:rFonts w:ascii="Arial" w:hAnsi="Arial" w:cs="Arial"/>
          <w:sz w:val="20"/>
          <w:szCs w:val="20"/>
        </w:rPr>
        <w:t>Si sottolinea infine la necessità di una copertura internazionale e altamente specializzata (domini/prodotti/processi ICT) e della possibilità di confronto diretto e illimitato con analisti specializzati, a supporto delle esigenze di Sogei e delle Amministrazioni.</w:t>
      </w:r>
    </w:p>
    <w:p w14:paraId="5E7EA3C1" w14:textId="1A27A5D5" w:rsidR="000B5091" w:rsidRPr="00BD2EB1" w:rsidRDefault="005471CE" w:rsidP="00C75AD7">
      <w:pPr>
        <w:pStyle w:val="NormaleWeb"/>
        <w:spacing w:before="120" w:beforeAutospacing="0" w:after="0" w:afterAutospacing="0" w:line="276" w:lineRule="auto"/>
        <w:jc w:val="both"/>
        <w:rPr>
          <w:rFonts w:ascii="Arial" w:hAnsi="Arial" w:cs="Arial"/>
          <w:sz w:val="20"/>
          <w:szCs w:val="20"/>
        </w:rPr>
      </w:pPr>
      <w:r w:rsidRPr="00BD2EB1">
        <w:rPr>
          <w:rFonts w:ascii="Arial" w:hAnsi="Arial" w:cs="Arial"/>
          <w:sz w:val="20"/>
          <w:szCs w:val="20"/>
        </w:rPr>
        <w:t xml:space="preserve">Pertanto, Sogei </w:t>
      </w:r>
      <w:r w:rsidR="00641F6F" w:rsidRPr="00BD2EB1">
        <w:rPr>
          <w:rFonts w:ascii="Arial" w:hAnsi="Arial" w:cs="Arial"/>
          <w:sz w:val="20"/>
          <w:szCs w:val="20"/>
        </w:rPr>
        <w:t>risponde</w:t>
      </w:r>
      <w:r w:rsidRPr="00BD2EB1">
        <w:rPr>
          <w:rFonts w:ascii="Arial" w:hAnsi="Arial" w:cs="Arial"/>
          <w:sz w:val="20"/>
          <w:szCs w:val="20"/>
        </w:rPr>
        <w:t xml:space="preserve"> al</w:t>
      </w:r>
      <w:r w:rsidR="00641F6F" w:rsidRPr="00BD2EB1">
        <w:rPr>
          <w:rFonts w:ascii="Arial" w:hAnsi="Arial" w:cs="Arial"/>
          <w:sz w:val="20"/>
          <w:szCs w:val="20"/>
        </w:rPr>
        <w:t>l’esigenza</w:t>
      </w:r>
      <w:r w:rsidRPr="00BD2EB1">
        <w:rPr>
          <w:rFonts w:ascii="Arial" w:hAnsi="Arial" w:cs="Arial"/>
          <w:sz w:val="20"/>
          <w:szCs w:val="20"/>
        </w:rPr>
        <w:t xml:space="preserve"> d</w:t>
      </w:r>
      <w:r w:rsidR="00641F6F" w:rsidRPr="00BD2EB1">
        <w:rPr>
          <w:rFonts w:ascii="Arial" w:hAnsi="Arial" w:cs="Arial"/>
          <w:sz w:val="20"/>
          <w:szCs w:val="20"/>
        </w:rPr>
        <w:t xml:space="preserve">i dotarsi di strumenti di </w:t>
      </w:r>
      <w:r w:rsidR="00691365" w:rsidRPr="00BD2EB1">
        <w:rPr>
          <w:rFonts w:ascii="Arial" w:hAnsi="Arial" w:cs="Arial"/>
          <w:sz w:val="20"/>
          <w:szCs w:val="20"/>
        </w:rPr>
        <w:t>accesso a</w:t>
      </w:r>
      <w:r w:rsidRPr="00BD2EB1">
        <w:rPr>
          <w:rFonts w:ascii="Arial" w:hAnsi="Arial" w:cs="Arial"/>
          <w:sz w:val="20"/>
          <w:szCs w:val="20"/>
        </w:rPr>
        <w:t xml:space="preserve"> dati e </w:t>
      </w:r>
      <w:r w:rsidR="00691365" w:rsidRPr="00BD2EB1">
        <w:rPr>
          <w:rFonts w:ascii="Arial" w:hAnsi="Arial" w:cs="Arial"/>
          <w:sz w:val="20"/>
          <w:szCs w:val="20"/>
        </w:rPr>
        <w:t xml:space="preserve">a </w:t>
      </w:r>
      <w:r w:rsidRPr="00BD2EB1">
        <w:rPr>
          <w:rFonts w:ascii="Arial" w:hAnsi="Arial" w:cs="Arial"/>
          <w:sz w:val="20"/>
          <w:szCs w:val="20"/>
        </w:rPr>
        <w:t>informazioni</w:t>
      </w:r>
      <w:r w:rsidR="00691365" w:rsidRPr="00BD2EB1">
        <w:rPr>
          <w:rFonts w:ascii="Arial" w:hAnsi="Arial" w:cs="Arial"/>
          <w:sz w:val="20"/>
          <w:szCs w:val="20"/>
        </w:rPr>
        <w:t xml:space="preserve"> in ambito ICT</w:t>
      </w:r>
      <w:r w:rsidRPr="00BD2EB1">
        <w:rPr>
          <w:rFonts w:ascii="Arial" w:hAnsi="Arial" w:cs="Arial"/>
          <w:sz w:val="20"/>
          <w:szCs w:val="20"/>
        </w:rPr>
        <w:t xml:space="preserve"> indipendenti</w:t>
      </w:r>
      <w:r w:rsidR="00691365" w:rsidRPr="00BD2EB1">
        <w:rPr>
          <w:rFonts w:ascii="Arial" w:hAnsi="Arial" w:cs="Arial"/>
          <w:sz w:val="20"/>
          <w:szCs w:val="20"/>
        </w:rPr>
        <w:t xml:space="preserve"> e</w:t>
      </w:r>
      <w:r w:rsidRPr="00BD2EB1">
        <w:rPr>
          <w:rFonts w:ascii="Arial" w:hAnsi="Arial" w:cs="Arial"/>
          <w:sz w:val="20"/>
          <w:szCs w:val="20"/>
        </w:rPr>
        <w:t xml:space="preserve"> affidabili, necessari a sé e alle Amministrazioni, attraverso soluzioni</w:t>
      </w:r>
      <w:r w:rsidR="000B5091" w:rsidRPr="00BD2EB1">
        <w:rPr>
          <w:rFonts w:ascii="Arial" w:hAnsi="Arial" w:cs="Arial"/>
          <w:sz w:val="20"/>
          <w:szCs w:val="20"/>
        </w:rPr>
        <w:t xml:space="preserve"> offerte da </w:t>
      </w:r>
      <w:proofErr w:type="spellStart"/>
      <w:r w:rsidR="000B5091" w:rsidRPr="00BD2EB1">
        <w:rPr>
          <w:rFonts w:ascii="Arial" w:hAnsi="Arial" w:cs="Arial"/>
          <w:sz w:val="20"/>
          <w:szCs w:val="20"/>
        </w:rPr>
        <w:t>fornitoriche</w:t>
      </w:r>
      <w:proofErr w:type="spellEnd"/>
      <w:r w:rsidR="000B5091" w:rsidRPr="00BD2EB1">
        <w:rPr>
          <w:rFonts w:ascii="Arial" w:hAnsi="Arial" w:cs="Arial"/>
          <w:sz w:val="20"/>
          <w:szCs w:val="20"/>
        </w:rPr>
        <w:t xml:space="preserve"> presentino </w:t>
      </w:r>
      <w:r w:rsidRPr="00BD2EB1">
        <w:rPr>
          <w:rFonts w:ascii="Arial" w:hAnsi="Arial" w:cs="Arial"/>
          <w:sz w:val="20"/>
          <w:szCs w:val="20"/>
        </w:rPr>
        <w:t>caratteristiche</w:t>
      </w:r>
      <w:r w:rsidR="009006D6" w:rsidRPr="00BD2EB1">
        <w:rPr>
          <w:rFonts w:ascii="Arial" w:hAnsi="Arial" w:cs="Arial"/>
          <w:sz w:val="20"/>
          <w:szCs w:val="20"/>
        </w:rPr>
        <w:t>/requisiti</w:t>
      </w:r>
      <w:r w:rsidR="00867BFB" w:rsidRPr="00BD2EB1">
        <w:rPr>
          <w:rFonts w:ascii="Arial" w:hAnsi="Arial" w:cs="Arial"/>
          <w:sz w:val="20"/>
          <w:szCs w:val="20"/>
        </w:rPr>
        <w:t xml:space="preserve">, da intendersi come </w:t>
      </w:r>
      <w:r w:rsidR="008806F8" w:rsidRPr="00BD2EB1">
        <w:rPr>
          <w:rFonts w:ascii="Arial" w:hAnsi="Arial" w:cs="Arial"/>
          <w:sz w:val="20"/>
          <w:szCs w:val="20"/>
        </w:rPr>
        <w:t xml:space="preserve">requisiti </w:t>
      </w:r>
      <w:r w:rsidR="00867BFB" w:rsidRPr="00BD2EB1">
        <w:rPr>
          <w:rFonts w:ascii="Arial" w:hAnsi="Arial" w:cs="Arial"/>
          <w:sz w:val="20"/>
          <w:szCs w:val="20"/>
        </w:rPr>
        <w:t xml:space="preserve">minimi, </w:t>
      </w:r>
      <w:r w:rsidR="000B5091" w:rsidRPr="00BD2EB1">
        <w:rPr>
          <w:rFonts w:ascii="Arial" w:hAnsi="Arial" w:cs="Arial"/>
          <w:sz w:val="20"/>
          <w:szCs w:val="20"/>
        </w:rPr>
        <w:t>come:</w:t>
      </w:r>
    </w:p>
    <w:p w14:paraId="0B1BD81D"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R1 – Indipendenza e imparzialità di ricerca;</w:t>
      </w:r>
    </w:p>
    <w:p w14:paraId="18469647"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R2 – Accesso alle banche dati informative del settore ICT e Finance;</w:t>
      </w:r>
    </w:p>
    <w:p w14:paraId="0A27AA3A"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R3 – Piattaforma di accesso unica per profilo di utente e per area di competenza;</w:t>
      </w:r>
    </w:p>
    <w:p w14:paraId="273D8161"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R4 – Accesso integrato ad una piattaforma online di valutazione dei prodotti/soluzioni IT, di social e community Rating;</w:t>
      </w:r>
    </w:p>
    <w:p w14:paraId="065B2709"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R5 – Specifici contenuti di Ricerca ICT Strategica;</w:t>
      </w:r>
    </w:p>
    <w:p w14:paraId="348B0E66"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R6 – Specifici contenuti di Ricerca ICT Tecnica;</w:t>
      </w:r>
    </w:p>
    <w:p w14:paraId="51EE0140"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R7 – Specifici contenuti di Ricerca in ambito Finance;</w:t>
      </w:r>
    </w:p>
    <w:p w14:paraId="36A31785"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R8 – Accesso agli Analisti Italiani ed Internazionali;</w:t>
      </w:r>
    </w:p>
    <w:p w14:paraId="4CC86CE3"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R9 – Supporto ed Accesso ad Esperti /ex-CIO – Italia per la Ricerca ICT Strategica;</w:t>
      </w:r>
    </w:p>
    <w:p w14:paraId="27F510AF"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 xml:space="preserve">R10 – Workshop con Analisti </w:t>
      </w:r>
      <w:proofErr w:type="gramStart"/>
      <w:r w:rsidRPr="00BD2EB1">
        <w:rPr>
          <w:rFonts w:ascii="Arial" w:hAnsi="Arial" w:cs="Arial"/>
          <w:sz w:val="20"/>
          <w:szCs w:val="20"/>
        </w:rPr>
        <w:t>e</w:t>
      </w:r>
      <w:proofErr w:type="gramEnd"/>
      <w:r w:rsidRPr="00BD2EB1">
        <w:rPr>
          <w:rFonts w:ascii="Arial" w:hAnsi="Arial" w:cs="Arial"/>
          <w:sz w:val="20"/>
          <w:szCs w:val="20"/>
        </w:rPr>
        <w:t xml:space="preserve"> Esperti della Ricerca Strategica ICT;</w:t>
      </w:r>
    </w:p>
    <w:p w14:paraId="331F0788"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lastRenderedPageBreak/>
        <w:t xml:space="preserve">R11 – Repository unico per Ricerca in ambito </w:t>
      </w:r>
      <w:proofErr w:type="spellStart"/>
      <w:r w:rsidRPr="00BD2EB1">
        <w:rPr>
          <w:rFonts w:ascii="Arial" w:hAnsi="Arial" w:cs="Arial"/>
          <w:sz w:val="20"/>
          <w:szCs w:val="20"/>
        </w:rPr>
        <w:t>Artificial</w:t>
      </w:r>
      <w:proofErr w:type="spellEnd"/>
      <w:r w:rsidRPr="00BD2EB1">
        <w:rPr>
          <w:rFonts w:ascii="Arial" w:hAnsi="Arial" w:cs="Arial"/>
          <w:sz w:val="20"/>
          <w:szCs w:val="20"/>
        </w:rPr>
        <w:t xml:space="preserve"> Intelligence;</w:t>
      </w:r>
    </w:p>
    <w:p w14:paraId="7078BD6C"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R12 – Metriche di Benchmark Costi e Prezzi;</w:t>
      </w:r>
    </w:p>
    <w:p w14:paraId="1E2BADB5"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R13 – Dashboard sullo stato della trasformazione digitale con benchmark con altre Pubbliche Amministrazioni;</w:t>
      </w:r>
    </w:p>
    <w:p w14:paraId="13B4C689"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R14 – Piattaforme di Benchmark e Diagnostica;</w:t>
      </w:r>
    </w:p>
    <w:p w14:paraId="1BAE81F2" w14:textId="77777777" w:rsidR="009006D6" w:rsidRPr="00BD2EB1" w:rsidRDefault="009006D6">
      <w:pPr>
        <w:numPr>
          <w:ilvl w:val="0"/>
          <w:numId w:val="5"/>
        </w:numPr>
        <w:spacing w:before="120" w:line="276" w:lineRule="auto"/>
        <w:jc w:val="both"/>
        <w:rPr>
          <w:rFonts w:ascii="Arial" w:hAnsi="Arial" w:cs="Arial"/>
        </w:rPr>
      </w:pPr>
      <w:r w:rsidRPr="00BD2EB1">
        <w:rPr>
          <w:rFonts w:ascii="Arial" w:hAnsi="Arial" w:cs="Arial"/>
          <w:sz w:val="20"/>
          <w:szCs w:val="20"/>
        </w:rPr>
        <w:t>R15 – Presenza sul territorio;</w:t>
      </w:r>
    </w:p>
    <w:p w14:paraId="34DC4080" w14:textId="655D266A" w:rsidR="00641F6F" w:rsidRPr="00BD2EB1" w:rsidRDefault="00641F6F" w:rsidP="00641F6F">
      <w:pPr>
        <w:spacing w:before="120" w:line="276" w:lineRule="auto"/>
        <w:jc w:val="both"/>
        <w:rPr>
          <w:rFonts w:ascii="Arial" w:hAnsi="Arial" w:cs="Arial"/>
          <w:sz w:val="20"/>
          <w:szCs w:val="20"/>
        </w:rPr>
      </w:pPr>
      <w:r w:rsidRPr="00BD2EB1">
        <w:rPr>
          <w:rFonts w:ascii="Arial" w:hAnsi="Arial" w:cs="Arial"/>
          <w:sz w:val="20"/>
          <w:szCs w:val="20"/>
        </w:rPr>
        <w:t>I requisiti sopra elencati possono essere così declinati dettagliatamente</w:t>
      </w:r>
      <w:r w:rsidR="000B1A8F" w:rsidRPr="00BD2EB1">
        <w:rPr>
          <w:rFonts w:ascii="Arial" w:hAnsi="Arial" w:cs="Arial"/>
          <w:sz w:val="20"/>
          <w:szCs w:val="20"/>
        </w:rPr>
        <w:t xml:space="preserve"> e puntualmente</w:t>
      </w:r>
      <w:r w:rsidRPr="00BD2EB1">
        <w:rPr>
          <w:rFonts w:ascii="Arial" w:hAnsi="Arial" w:cs="Arial"/>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2539"/>
        <w:gridCol w:w="5063"/>
      </w:tblGrid>
      <w:tr w:rsidR="00B913E1" w:rsidRPr="00C66F03" w14:paraId="6FD93EBB"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2657E0B" w14:textId="77777777" w:rsidR="00B913E1" w:rsidRPr="00C75AD7" w:rsidRDefault="00B913E1">
            <w:pPr>
              <w:jc w:val="both"/>
              <w:rPr>
                <w:rFonts w:ascii="Arial" w:hAnsi="Arial" w:cs="Arial"/>
              </w:rPr>
            </w:pPr>
            <w:r w:rsidRPr="00C66F03">
              <w:rPr>
                <w:rFonts w:ascii="Arial" w:hAnsi="Arial" w:cs="Arial"/>
                <w:sz w:val="20"/>
                <w:szCs w:val="20"/>
              </w:rPr>
              <w:t>R1</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AA1544C" w14:textId="77777777" w:rsidR="00B913E1" w:rsidRPr="00C75AD7" w:rsidRDefault="00B913E1">
            <w:pPr>
              <w:jc w:val="both"/>
              <w:rPr>
                <w:rFonts w:ascii="Arial" w:hAnsi="Arial" w:cs="Arial"/>
              </w:rPr>
            </w:pPr>
            <w:r w:rsidRPr="00C66F03">
              <w:rPr>
                <w:rFonts w:ascii="Arial" w:hAnsi="Arial" w:cs="Arial"/>
                <w:sz w:val="20"/>
                <w:szCs w:val="20"/>
              </w:rPr>
              <w:t>Ricerca indipendente ed imparziale</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A2BBB74"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T​​</w:t>
            </w:r>
            <w:proofErr w:type="spellStart"/>
            <w:r w:rsidRPr="00C66F03">
              <w:rPr>
                <w:rFonts w:ascii="Arial" w:hAnsi="Arial" w:cs="Arial"/>
                <w:sz w:val="20"/>
                <w:szCs w:val="20"/>
              </w:rPr>
              <w:t>erzietà</w:t>
            </w:r>
            <w:proofErr w:type="spellEnd"/>
            <w:r w:rsidRPr="00C66F03">
              <w:rPr>
                <w:rFonts w:ascii="Arial" w:hAnsi="Arial" w:cs="Arial"/>
                <w:sz w:val="20"/>
                <w:szCs w:val="20"/>
              </w:rPr>
              <w:t xml:space="preserve"> rispetto a </w:t>
            </w:r>
            <w:proofErr w:type="spellStart"/>
            <w:r w:rsidRPr="00C66F03">
              <w:rPr>
                <w:rFonts w:ascii="Arial" w:hAnsi="Arial" w:cs="Arial"/>
                <w:sz w:val="20"/>
                <w:szCs w:val="20"/>
              </w:rPr>
              <w:t>vendor</w:t>
            </w:r>
            <w:proofErr w:type="spellEnd"/>
            <w:r w:rsidRPr="00C66F03">
              <w:rPr>
                <w:rFonts w:ascii="Arial" w:hAnsi="Arial" w:cs="Arial"/>
                <w:sz w:val="20"/>
                <w:szCs w:val="20"/>
              </w:rPr>
              <w:t xml:space="preserve"> e fornitori di HW/SW/servizi ICT; assenza di commistione tra ruoli di analisi e consulenza/vendita/supporto.</w:t>
            </w:r>
          </w:p>
          <w:p w14:paraId="5AC334CB"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 xml:space="preserve">Divieto di ricerche/studi “ad hoc” (white paper, TCO/ROI, ecc.) commissionati o sponsorizzati da </w:t>
            </w:r>
            <w:proofErr w:type="spellStart"/>
            <w:r w:rsidRPr="00C66F03">
              <w:rPr>
                <w:rFonts w:ascii="Arial" w:hAnsi="Arial" w:cs="Arial"/>
                <w:sz w:val="20"/>
                <w:szCs w:val="20"/>
              </w:rPr>
              <w:t>vendor</w:t>
            </w:r>
            <w:proofErr w:type="spellEnd"/>
            <w:r w:rsidRPr="00C66F03">
              <w:rPr>
                <w:rFonts w:ascii="Arial" w:hAnsi="Arial" w:cs="Arial"/>
                <w:sz w:val="20"/>
                <w:szCs w:val="20"/>
              </w:rPr>
              <w:t xml:space="preserve"> ICT, su qualunque canale, anche tramite partecipate/BU dedicate.</w:t>
            </w:r>
          </w:p>
          <w:p w14:paraId="0DCD3FEB"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 xml:space="preserve">Nessuna erogazione (diretta o tramite partecipate/consorziate) di servizi nei mercati oggetto di valutazione: gestione infrastrutture; sviluppo applicazioni/configurazioni (es. ERP); fornitura risorse; BI/data </w:t>
            </w:r>
            <w:proofErr w:type="spellStart"/>
            <w:r w:rsidRPr="00C66F03">
              <w:rPr>
                <w:rFonts w:ascii="Arial" w:hAnsi="Arial" w:cs="Arial"/>
                <w:sz w:val="20"/>
                <w:szCs w:val="20"/>
              </w:rPr>
              <w:t>analytics</w:t>
            </w:r>
            <w:proofErr w:type="spellEnd"/>
            <w:r w:rsidRPr="00C66F03">
              <w:rPr>
                <w:rFonts w:ascii="Arial" w:hAnsi="Arial" w:cs="Arial"/>
                <w:sz w:val="20"/>
                <w:szCs w:val="20"/>
              </w:rPr>
              <w:t>/AI/ML; e relativi profili professionali.</w:t>
            </w:r>
          </w:p>
          <w:p w14:paraId="1619CAA1"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Produzione di dati/ricerche/analisi da analisti “full time” dedicati esclusivamente alla ricerca; vincolo a codice etico; nessuna quota/ruolo in aziende dei settori oggetto di analisi.</w:t>
            </w:r>
          </w:p>
          <w:p w14:paraId="767F3510"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 xml:space="preserve">Raccolta dati basata primariamente su interazioni dirette frequenti con ampia base di organizzazioni (non principalmente survey/questionari o dati </w:t>
            </w:r>
            <w:proofErr w:type="spellStart"/>
            <w:r w:rsidRPr="00C66F03">
              <w:rPr>
                <w:rFonts w:ascii="Arial" w:hAnsi="Arial" w:cs="Arial"/>
                <w:sz w:val="20"/>
                <w:szCs w:val="20"/>
              </w:rPr>
              <w:t>vendor</w:t>
            </w:r>
            <w:proofErr w:type="spellEnd"/>
            <w:r w:rsidRPr="00C66F03">
              <w:rPr>
                <w:rFonts w:ascii="Arial" w:hAnsi="Arial" w:cs="Arial"/>
                <w:sz w:val="20"/>
                <w:szCs w:val="20"/>
              </w:rPr>
              <w:t>); analisti con esperienza &gt;10 anni.</w:t>
            </w:r>
          </w:p>
          <w:p w14:paraId="092397F5"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 xml:space="preserve">Capacità minima: ≥7 analisti ricerca ICT in Italia e ≥1000 globali; valenza internazionale con base clienti </w:t>
            </w:r>
            <w:proofErr w:type="spellStart"/>
            <w:r w:rsidRPr="00C66F03">
              <w:rPr>
                <w:rFonts w:ascii="Arial" w:hAnsi="Arial" w:cs="Arial"/>
                <w:sz w:val="20"/>
                <w:szCs w:val="20"/>
              </w:rPr>
              <w:t>CxO</w:t>
            </w:r>
            <w:proofErr w:type="spellEnd"/>
            <w:r w:rsidRPr="00C66F03">
              <w:rPr>
                <w:rFonts w:ascii="Arial" w:hAnsi="Arial" w:cs="Arial"/>
                <w:sz w:val="20"/>
                <w:szCs w:val="20"/>
              </w:rPr>
              <w:t>.</w:t>
            </w:r>
          </w:p>
          <w:p w14:paraId="35895045" w14:textId="77777777" w:rsidR="00B913E1" w:rsidRPr="00C75AD7" w:rsidRDefault="00B913E1">
            <w:pPr>
              <w:numPr>
                <w:ilvl w:val="0"/>
                <w:numId w:val="6"/>
              </w:numPr>
              <w:jc w:val="both"/>
              <w:rPr>
                <w:rFonts w:ascii="Arial" w:hAnsi="Arial" w:cs="Arial"/>
              </w:rPr>
            </w:pPr>
            <w:r w:rsidRPr="00C66F03">
              <w:rPr>
                <w:rFonts w:ascii="Arial" w:hAnsi="Arial" w:cs="Arial"/>
                <w:sz w:val="20"/>
                <w:szCs w:val="20"/>
              </w:rPr>
              <w:t>Presenza internazionale stabile (strutture di ricerca e analisti, non solo sedi commerciali) in paesi UE ed extra-UE.</w:t>
            </w:r>
          </w:p>
        </w:tc>
      </w:tr>
      <w:tr w:rsidR="00B913E1" w:rsidRPr="00C66F03" w14:paraId="7C0A9BF0"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C4879B3" w14:textId="77777777" w:rsidR="00B913E1" w:rsidRPr="00C75AD7" w:rsidRDefault="00B913E1">
            <w:pPr>
              <w:jc w:val="both"/>
              <w:rPr>
                <w:rFonts w:ascii="Arial" w:eastAsiaTheme="minorEastAsia" w:hAnsi="Arial" w:cs="Arial"/>
              </w:rPr>
            </w:pPr>
            <w:r w:rsidRPr="00C66F03">
              <w:rPr>
                <w:rFonts w:ascii="Arial" w:hAnsi="Arial" w:cs="Arial"/>
                <w:sz w:val="20"/>
                <w:szCs w:val="20"/>
              </w:rPr>
              <w:t>R2</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371CC48" w14:textId="77777777" w:rsidR="00B913E1" w:rsidRPr="00C75AD7" w:rsidRDefault="00B913E1">
            <w:pPr>
              <w:jc w:val="both"/>
              <w:rPr>
                <w:rFonts w:ascii="Arial" w:hAnsi="Arial" w:cs="Arial"/>
              </w:rPr>
            </w:pPr>
            <w:r w:rsidRPr="00C66F03">
              <w:rPr>
                <w:rFonts w:ascii="Arial" w:hAnsi="Arial" w:cs="Arial"/>
                <w:sz w:val="20"/>
                <w:szCs w:val="20"/>
              </w:rPr>
              <w:t>Accesso alle banche dati informative del settore ICT e Finance</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FB68A32" w14:textId="77777777" w:rsidR="00B913E1" w:rsidRPr="00C75AD7" w:rsidRDefault="00B913E1">
            <w:pPr>
              <w:numPr>
                <w:ilvl w:val="0"/>
                <w:numId w:val="7"/>
              </w:numPr>
              <w:jc w:val="both"/>
              <w:rPr>
                <w:rFonts w:ascii="Arial" w:hAnsi="Arial" w:cs="Arial"/>
              </w:rPr>
            </w:pPr>
            <w:r w:rsidRPr="00C66F03">
              <w:rPr>
                <w:rFonts w:ascii="Arial" w:hAnsi="Arial" w:cs="Arial"/>
                <w:sz w:val="20"/>
                <w:szCs w:val="20"/>
              </w:rPr>
              <w:t>Ambiti: ICT (manageriale/strategico e tecnico) e Finance; licenze per ruoli Dirigenziali e profili tecnici (IC).</w:t>
            </w:r>
          </w:p>
          <w:p w14:paraId="58E0882A" w14:textId="77777777" w:rsidR="00B913E1" w:rsidRPr="00C75AD7" w:rsidRDefault="00B913E1">
            <w:pPr>
              <w:numPr>
                <w:ilvl w:val="0"/>
                <w:numId w:val="7"/>
              </w:numPr>
              <w:jc w:val="both"/>
              <w:rPr>
                <w:rFonts w:ascii="Arial" w:hAnsi="Arial" w:cs="Arial"/>
              </w:rPr>
            </w:pPr>
            <w:r w:rsidRPr="00C66F03">
              <w:rPr>
                <w:rFonts w:ascii="Arial" w:hAnsi="Arial" w:cs="Arial"/>
                <w:b/>
                <w:bCs/>
                <w:sz w:val="20"/>
                <w:szCs w:val="20"/>
              </w:rPr>
              <w:t>A. Licenza ICT Strategica/Operativa (nominale)</w:t>
            </w:r>
            <w:r w:rsidRPr="00C66F03">
              <w:rPr>
                <w:rFonts w:ascii="Arial" w:hAnsi="Arial" w:cs="Arial"/>
                <w:sz w:val="20"/>
                <w:szCs w:val="20"/>
              </w:rPr>
              <w:t xml:space="preserve">: accesso illimitato ricerca (R5); </w:t>
            </w:r>
            <w:proofErr w:type="spellStart"/>
            <w:r w:rsidRPr="00C66F03">
              <w:rPr>
                <w:rFonts w:ascii="Arial" w:hAnsi="Arial" w:cs="Arial"/>
                <w:sz w:val="20"/>
                <w:szCs w:val="20"/>
              </w:rPr>
              <w:t>inquiry</w:t>
            </w:r>
            <w:proofErr w:type="spellEnd"/>
            <w:r w:rsidRPr="00C66F03">
              <w:rPr>
                <w:rFonts w:ascii="Arial" w:hAnsi="Arial" w:cs="Arial"/>
                <w:sz w:val="20"/>
                <w:szCs w:val="20"/>
              </w:rPr>
              <w:t xml:space="preserve"> illimitate 30’ con analisti; esperto di contestualizzazione (R10); ticket a 2 eventi CIO/anno (R15-A).</w:t>
            </w:r>
          </w:p>
          <w:p w14:paraId="38D49198" w14:textId="77777777" w:rsidR="00B913E1" w:rsidRPr="00C75AD7" w:rsidRDefault="00B913E1">
            <w:pPr>
              <w:numPr>
                <w:ilvl w:val="0"/>
                <w:numId w:val="7"/>
              </w:numPr>
              <w:jc w:val="both"/>
              <w:rPr>
                <w:rFonts w:ascii="Arial" w:hAnsi="Arial" w:cs="Arial"/>
              </w:rPr>
            </w:pPr>
            <w:r w:rsidRPr="00C66F03">
              <w:rPr>
                <w:rFonts w:ascii="Arial" w:hAnsi="Arial" w:cs="Arial"/>
                <w:b/>
                <w:bCs/>
                <w:sz w:val="20"/>
                <w:szCs w:val="20"/>
              </w:rPr>
              <w:t>B. Licenza ICT Tecnica (bundle)</w:t>
            </w:r>
            <w:r w:rsidRPr="00C66F03">
              <w:rPr>
                <w:rFonts w:ascii="Arial" w:hAnsi="Arial" w:cs="Arial"/>
                <w:sz w:val="20"/>
                <w:szCs w:val="20"/>
              </w:rPr>
              <w:t xml:space="preserve">: utenti illimitati; accesso illimitato ricerca (R6); </w:t>
            </w:r>
            <w:proofErr w:type="spellStart"/>
            <w:r w:rsidRPr="00C66F03">
              <w:rPr>
                <w:rFonts w:ascii="Arial" w:hAnsi="Arial" w:cs="Arial"/>
                <w:sz w:val="20"/>
                <w:szCs w:val="20"/>
              </w:rPr>
              <w:t>inquiry</w:t>
            </w:r>
            <w:proofErr w:type="spellEnd"/>
            <w:r w:rsidRPr="00C66F03">
              <w:rPr>
                <w:rFonts w:ascii="Arial" w:hAnsi="Arial" w:cs="Arial"/>
                <w:sz w:val="20"/>
                <w:szCs w:val="20"/>
              </w:rPr>
              <w:t xml:space="preserve"> illimitate 60’; supporto per accesso/</w:t>
            </w:r>
            <w:proofErr w:type="spellStart"/>
            <w:r w:rsidRPr="00C66F03">
              <w:rPr>
                <w:rFonts w:ascii="Arial" w:hAnsi="Arial" w:cs="Arial"/>
                <w:sz w:val="20"/>
                <w:szCs w:val="20"/>
              </w:rPr>
              <w:t>inquiry</w:t>
            </w:r>
            <w:proofErr w:type="spellEnd"/>
            <w:r w:rsidRPr="00C66F03">
              <w:rPr>
                <w:rFonts w:ascii="Arial" w:hAnsi="Arial" w:cs="Arial"/>
                <w:sz w:val="20"/>
                <w:szCs w:val="20"/>
              </w:rPr>
              <w:t>; 1 ticket conferenza (R15-D).</w:t>
            </w:r>
          </w:p>
          <w:p w14:paraId="4DE241FE" w14:textId="77777777" w:rsidR="00B913E1" w:rsidRPr="00C75AD7" w:rsidRDefault="00B913E1">
            <w:pPr>
              <w:numPr>
                <w:ilvl w:val="0"/>
                <w:numId w:val="7"/>
              </w:numPr>
              <w:jc w:val="both"/>
              <w:rPr>
                <w:rFonts w:ascii="Arial" w:hAnsi="Arial" w:cs="Arial"/>
              </w:rPr>
            </w:pPr>
            <w:r w:rsidRPr="00C66F03">
              <w:rPr>
                <w:rFonts w:ascii="Arial" w:hAnsi="Arial" w:cs="Arial"/>
                <w:b/>
                <w:bCs/>
                <w:sz w:val="20"/>
                <w:szCs w:val="20"/>
              </w:rPr>
              <w:lastRenderedPageBreak/>
              <w:t>C. Licenza Finance (nominale)</w:t>
            </w:r>
            <w:r w:rsidRPr="00C66F03">
              <w:rPr>
                <w:rFonts w:ascii="Arial" w:hAnsi="Arial" w:cs="Arial"/>
                <w:sz w:val="20"/>
                <w:szCs w:val="20"/>
              </w:rPr>
              <w:t xml:space="preserve">: accesso illimitato ricerca (R7); </w:t>
            </w:r>
            <w:proofErr w:type="spellStart"/>
            <w:r w:rsidRPr="00C66F03">
              <w:rPr>
                <w:rFonts w:ascii="Arial" w:hAnsi="Arial" w:cs="Arial"/>
                <w:sz w:val="20"/>
                <w:szCs w:val="20"/>
              </w:rPr>
              <w:t>inquiry</w:t>
            </w:r>
            <w:proofErr w:type="spellEnd"/>
            <w:r w:rsidRPr="00C66F03">
              <w:rPr>
                <w:rFonts w:ascii="Arial" w:hAnsi="Arial" w:cs="Arial"/>
                <w:sz w:val="20"/>
                <w:szCs w:val="20"/>
              </w:rPr>
              <w:t xml:space="preserve"> illimitate 30’; esperto contestualizzazione (R15-B); ticket conferenza Finance UE (≥2 giorni).</w:t>
            </w:r>
          </w:p>
        </w:tc>
      </w:tr>
      <w:tr w:rsidR="00B913E1" w:rsidRPr="00C66F03" w14:paraId="4D3B7504"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E0D5141" w14:textId="77777777" w:rsidR="00B913E1" w:rsidRPr="00C75AD7" w:rsidRDefault="00B913E1">
            <w:pPr>
              <w:jc w:val="both"/>
              <w:rPr>
                <w:rFonts w:ascii="Arial" w:eastAsiaTheme="minorEastAsia" w:hAnsi="Arial" w:cs="Arial"/>
              </w:rPr>
            </w:pPr>
            <w:r w:rsidRPr="00C66F03">
              <w:rPr>
                <w:rFonts w:ascii="Arial" w:hAnsi="Arial" w:cs="Arial"/>
                <w:sz w:val="20"/>
                <w:szCs w:val="20"/>
              </w:rPr>
              <w:lastRenderedPageBreak/>
              <w:t>R3</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1FF30940" w14:textId="77777777" w:rsidR="00B913E1" w:rsidRPr="00C75AD7" w:rsidRDefault="00B913E1">
            <w:pPr>
              <w:jc w:val="both"/>
              <w:rPr>
                <w:rFonts w:ascii="Arial" w:hAnsi="Arial" w:cs="Arial"/>
              </w:rPr>
            </w:pPr>
            <w:r w:rsidRPr="00C66F03">
              <w:rPr>
                <w:rFonts w:ascii="Arial" w:hAnsi="Arial" w:cs="Arial"/>
                <w:sz w:val="20"/>
                <w:szCs w:val="20"/>
              </w:rPr>
              <w:t>Piattaforma di accesso unica per profilo di utente e per area di competenza</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9B69F89" w14:textId="77777777" w:rsidR="00B913E1" w:rsidRPr="00C75AD7" w:rsidRDefault="00B913E1">
            <w:pPr>
              <w:numPr>
                <w:ilvl w:val="0"/>
                <w:numId w:val="8"/>
              </w:numPr>
              <w:jc w:val="both"/>
              <w:rPr>
                <w:rFonts w:ascii="Arial" w:hAnsi="Arial" w:cs="Arial"/>
              </w:rPr>
            </w:pPr>
            <w:r w:rsidRPr="00C66F03">
              <w:rPr>
                <w:rFonts w:ascii="Arial" w:hAnsi="Arial" w:cs="Arial"/>
                <w:sz w:val="20"/>
                <w:szCs w:val="20"/>
              </w:rPr>
              <w:t>Un’unica piattaforma web + app per tutti i profili e per tutte le aree tematiche.</w:t>
            </w:r>
          </w:p>
          <w:p w14:paraId="7E1328F3" w14:textId="77777777" w:rsidR="00B913E1" w:rsidRPr="00C75AD7" w:rsidRDefault="00B913E1">
            <w:pPr>
              <w:numPr>
                <w:ilvl w:val="0"/>
                <w:numId w:val="8"/>
              </w:numPr>
              <w:jc w:val="both"/>
              <w:rPr>
                <w:rFonts w:ascii="Arial" w:hAnsi="Arial" w:cs="Arial"/>
              </w:rPr>
            </w:pPr>
            <w:r w:rsidRPr="00C66F03">
              <w:rPr>
                <w:rFonts w:ascii="Arial" w:hAnsi="Arial" w:cs="Arial"/>
                <w:sz w:val="20"/>
                <w:szCs w:val="20"/>
              </w:rPr>
              <w:t>Possibilità di attivare più profili per lo stesso utente e ottenere risultati aggregati/</w:t>
            </w:r>
            <w:proofErr w:type="spellStart"/>
            <w:r w:rsidRPr="00C66F03">
              <w:rPr>
                <w:rFonts w:ascii="Arial" w:hAnsi="Arial" w:cs="Arial"/>
                <w:sz w:val="20"/>
                <w:szCs w:val="20"/>
              </w:rPr>
              <w:t>seamless</w:t>
            </w:r>
            <w:proofErr w:type="spellEnd"/>
            <w:r w:rsidRPr="00C66F03">
              <w:rPr>
                <w:rFonts w:ascii="Arial" w:hAnsi="Arial" w:cs="Arial"/>
                <w:sz w:val="20"/>
                <w:szCs w:val="20"/>
              </w:rPr>
              <w:t xml:space="preserve"> su documenti e webinar di aree diverse.</w:t>
            </w:r>
          </w:p>
          <w:p w14:paraId="4016FED8" w14:textId="77777777" w:rsidR="00B913E1" w:rsidRPr="00C75AD7" w:rsidRDefault="00B913E1">
            <w:pPr>
              <w:numPr>
                <w:ilvl w:val="0"/>
                <w:numId w:val="8"/>
              </w:numPr>
              <w:jc w:val="both"/>
              <w:rPr>
                <w:rFonts w:ascii="Arial" w:hAnsi="Arial" w:cs="Arial"/>
              </w:rPr>
            </w:pPr>
            <w:r w:rsidRPr="00C66F03">
              <w:rPr>
                <w:rFonts w:ascii="Arial" w:hAnsi="Arial" w:cs="Arial"/>
                <w:sz w:val="20"/>
                <w:szCs w:val="20"/>
              </w:rPr>
              <w:t>Filtri minimi: tipo contenuto (webinar/documento), area (ICT strategica/ICT tecnica/Finance), anno, iniziativa.</w:t>
            </w:r>
          </w:p>
        </w:tc>
      </w:tr>
      <w:tr w:rsidR="00B913E1" w:rsidRPr="00C66F03" w14:paraId="4132C44F"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D04FE67" w14:textId="77777777" w:rsidR="00B913E1" w:rsidRPr="00C75AD7" w:rsidRDefault="00B913E1">
            <w:pPr>
              <w:jc w:val="both"/>
              <w:rPr>
                <w:rFonts w:ascii="Arial" w:eastAsiaTheme="minorEastAsia" w:hAnsi="Arial" w:cs="Arial"/>
              </w:rPr>
            </w:pPr>
            <w:r w:rsidRPr="00C66F03">
              <w:rPr>
                <w:rFonts w:ascii="Arial" w:hAnsi="Arial" w:cs="Arial"/>
                <w:sz w:val="20"/>
                <w:szCs w:val="20"/>
              </w:rPr>
              <w:t>R4</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3A0C176" w14:textId="77777777" w:rsidR="00B913E1" w:rsidRPr="00C75AD7" w:rsidRDefault="00B913E1">
            <w:pPr>
              <w:jc w:val="both"/>
              <w:rPr>
                <w:rFonts w:ascii="Arial" w:hAnsi="Arial" w:cs="Arial"/>
              </w:rPr>
            </w:pPr>
            <w:r w:rsidRPr="00C66F03">
              <w:rPr>
                <w:rFonts w:ascii="Arial" w:hAnsi="Arial" w:cs="Arial"/>
                <w:sz w:val="20"/>
                <w:szCs w:val="20"/>
              </w:rPr>
              <w:t>Accesso integrato a piattaforme online di valutazione / social &amp; community rating</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92A9214" w14:textId="77777777" w:rsidR="00B913E1" w:rsidRPr="00C75AD7" w:rsidRDefault="00B913E1">
            <w:pPr>
              <w:numPr>
                <w:ilvl w:val="0"/>
                <w:numId w:val="9"/>
              </w:numPr>
              <w:jc w:val="both"/>
              <w:rPr>
                <w:rFonts w:ascii="Arial" w:hAnsi="Arial" w:cs="Arial"/>
              </w:rPr>
            </w:pPr>
            <w:r w:rsidRPr="00C66F03">
              <w:rPr>
                <w:rFonts w:ascii="Arial" w:hAnsi="Arial" w:cs="Arial"/>
                <w:sz w:val="20"/>
                <w:szCs w:val="20"/>
              </w:rPr>
              <w:t>Tool interattivi per: product/</w:t>
            </w:r>
            <w:proofErr w:type="spellStart"/>
            <w:r w:rsidRPr="00C66F03">
              <w:rPr>
                <w:rFonts w:ascii="Arial" w:hAnsi="Arial" w:cs="Arial"/>
                <w:sz w:val="20"/>
                <w:szCs w:val="20"/>
              </w:rPr>
              <w:t>solution</w:t>
            </w:r>
            <w:proofErr w:type="spellEnd"/>
            <w:r w:rsidRPr="00C66F03">
              <w:rPr>
                <w:rFonts w:ascii="Arial" w:hAnsi="Arial" w:cs="Arial"/>
                <w:sz w:val="20"/>
                <w:szCs w:val="20"/>
              </w:rPr>
              <w:t xml:space="preserve"> rating (utenti identificati) + vista grafica multidimensionale; </w:t>
            </w:r>
            <w:proofErr w:type="spellStart"/>
            <w:r w:rsidRPr="00C66F03">
              <w:rPr>
                <w:rFonts w:ascii="Arial" w:hAnsi="Arial" w:cs="Arial"/>
                <w:sz w:val="20"/>
                <w:szCs w:val="20"/>
              </w:rPr>
              <w:t>maturity</w:t>
            </w:r>
            <w:proofErr w:type="spellEnd"/>
            <w:r w:rsidRPr="00C66F03">
              <w:rPr>
                <w:rFonts w:ascii="Arial" w:hAnsi="Arial" w:cs="Arial"/>
                <w:sz w:val="20"/>
                <w:szCs w:val="20"/>
              </w:rPr>
              <w:t xml:space="preserve"> </w:t>
            </w:r>
            <w:proofErr w:type="spellStart"/>
            <w:r w:rsidRPr="00C66F03">
              <w:rPr>
                <w:rFonts w:ascii="Arial" w:hAnsi="Arial" w:cs="Arial"/>
                <w:sz w:val="20"/>
                <w:szCs w:val="20"/>
              </w:rPr>
              <w:t>assessment</w:t>
            </w:r>
            <w:proofErr w:type="spellEnd"/>
            <w:r w:rsidRPr="00C66F03">
              <w:rPr>
                <w:rFonts w:ascii="Arial" w:hAnsi="Arial" w:cs="Arial"/>
                <w:sz w:val="20"/>
                <w:szCs w:val="20"/>
              </w:rPr>
              <w:t xml:space="preserve"> IT; benchmark budget IT; social networking privato IT executives (≥6 anni, base internazionale, poll/benchmark); confronti multi-parametrici e per use case; curve di maturità tecnologie; gestione requisiti/valutazioni fornitori con task, pesi e punteggi (supporto esperto).</w:t>
            </w:r>
          </w:p>
        </w:tc>
      </w:tr>
      <w:tr w:rsidR="00B913E1" w:rsidRPr="00C66F03" w14:paraId="4907A666"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3A1E9A2" w14:textId="77777777" w:rsidR="00B913E1" w:rsidRPr="00C75AD7" w:rsidRDefault="00B913E1">
            <w:pPr>
              <w:jc w:val="both"/>
              <w:rPr>
                <w:rFonts w:ascii="Arial" w:eastAsiaTheme="minorEastAsia" w:hAnsi="Arial" w:cs="Arial"/>
              </w:rPr>
            </w:pPr>
            <w:r w:rsidRPr="00C66F03">
              <w:rPr>
                <w:rFonts w:ascii="Arial" w:hAnsi="Arial" w:cs="Arial"/>
                <w:sz w:val="20"/>
                <w:szCs w:val="20"/>
              </w:rPr>
              <w:t>R5</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58CCB04" w14:textId="77777777" w:rsidR="00B913E1" w:rsidRPr="00C75AD7" w:rsidRDefault="00B913E1">
            <w:pPr>
              <w:jc w:val="both"/>
              <w:rPr>
                <w:rFonts w:ascii="Arial" w:hAnsi="Arial" w:cs="Arial"/>
              </w:rPr>
            </w:pPr>
            <w:r w:rsidRPr="00C66F03">
              <w:rPr>
                <w:rFonts w:ascii="Arial" w:hAnsi="Arial" w:cs="Arial"/>
                <w:sz w:val="20"/>
                <w:szCs w:val="20"/>
              </w:rPr>
              <w:t>Contenuti della Ricerca ICT Strategica</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554FFCB" w14:textId="77777777" w:rsidR="00B913E1" w:rsidRPr="00C75AD7" w:rsidRDefault="00B913E1">
            <w:pPr>
              <w:numPr>
                <w:ilvl w:val="0"/>
                <w:numId w:val="10"/>
              </w:numPr>
              <w:jc w:val="both"/>
              <w:rPr>
                <w:rFonts w:ascii="Arial" w:hAnsi="Arial" w:cs="Arial"/>
              </w:rPr>
            </w:pPr>
            <w:r w:rsidRPr="00C66F03">
              <w:rPr>
                <w:rFonts w:ascii="Arial" w:hAnsi="Arial" w:cs="Arial"/>
                <w:sz w:val="20"/>
                <w:szCs w:val="20"/>
              </w:rPr>
              <w:t xml:space="preserve">Metodologie orientate agli utilizzatori (non </w:t>
            </w:r>
            <w:proofErr w:type="gramStart"/>
            <w:r w:rsidRPr="00C66F03">
              <w:rPr>
                <w:rFonts w:ascii="Arial" w:hAnsi="Arial" w:cs="Arial"/>
                <w:sz w:val="20"/>
                <w:szCs w:val="20"/>
              </w:rPr>
              <w:t>ai</w:t>
            </w:r>
            <w:proofErr w:type="gramEnd"/>
            <w:r w:rsidRPr="00C66F03">
              <w:rPr>
                <w:rFonts w:ascii="Arial" w:hAnsi="Arial" w:cs="Arial"/>
                <w:sz w:val="20"/>
                <w:szCs w:val="20"/>
              </w:rPr>
              <w:t xml:space="preserve"> </w:t>
            </w:r>
            <w:proofErr w:type="spellStart"/>
            <w:r w:rsidRPr="00C66F03">
              <w:rPr>
                <w:rFonts w:ascii="Arial" w:hAnsi="Arial" w:cs="Arial"/>
                <w:sz w:val="20"/>
                <w:szCs w:val="20"/>
              </w:rPr>
              <w:t>vendor</w:t>
            </w:r>
            <w:proofErr w:type="spellEnd"/>
            <w:r w:rsidRPr="00C66F03">
              <w:rPr>
                <w:rFonts w:ascii="Arial" w:hAnsi="Arial" w:cs="Arial"/>
                <w:sz w:val="20"/>
                <w:szCs w:val="20"/>
              </w:rPr>
              <w:t xml:space="preserve">); contenuti inediti coperti da </w:t>
            </w:r>
            <w:proofErr w:type="gramStart"/>
            <w:r w:rsidRPr="00C66F03">
              <w:rPr>
                <w:rFonts w:ascii="Arial" w:hAnsi="Arial" w:cs="Arial"/>
                <w:sz w:val="20"/>
                <w:szCs w:val="20"/>
              </w:rPr>
              <w:t>copyright</w:t>
            </w:r>
            <w:proofErr w:type="gramEnd"/>
            <w:r w:rsidRPr="00C66F03">
              <w:rPr>
                <w:rFonts w:ascii="Arial" w:hAnsi="Arial" w:cs="Arial"/>
                <w:sz w:val="20"/>
                <w:szCs w:val="20"/>
              </w:rPr>
              <w:t>; oggettivi e non “ad hoc”.</w:t>
            </w:r>
          </w:p>
          <w:p w14:paraId="28E5D016" w14:textId="77777777" w:rsidR="00B913E1" w:rsidRPr="00C75AD7" w:rsidRDefault="00B913E1">
            <w:pPr>
              <w:numPr>
                <w:ilvl w:val="0"/>
                <w:numId w:val="10"/>
              </w:numPr>
              <w:jc w:val="both"/>
              <w:rPr>
                <w:rFonts w:ascii="Arial" w:hAnsi="Arial" w:cs="Arial"/>
              </w:rPr>
            </w:pPr>
            <w:r w:rsidRPr="00C66F03">
              <w:rPr>
                <w:rFonts w:ascii="Arial" w:hAnsi="Arial" w:cs="Arial"/>
                <w:sz w:val="20"/>
                <w:szCs w:val="20"/>
              </w:rPr>
              <w:t>Copertura: ~350 domini prodotti/servizi ICT e ~150 processi/sottoprocessi; ≥500 analisti ICT.</w:t>
            </w:r>
          </w:p>
          <w:p w14:paraId="136C9E75" w14:textId="77777777" w:rsidR="00B913E1" w:rsidRPr="00C75AD7" w:rsidRDefault="00B913E1">
            <w:pPr>
              <w:numPr>
                <w:ilvl w:val="0"/>
                <w:numId w:val="10"/>
              </w:numPr>
              <w:jc w:val="both"/>
              <w:rPr>
                <w:rFonts w:ascii="Arial" w:hAnsi="Arial" w:cs="Arial"/>
              </w:rPr>
            </w:pPr>
            <w:r w:rsidRPr="00C66F03">
              <w:rPr>
                <w:rFonts w:ascii="Arial" w:hAnsi="Arial" w:cs="Arial"/>
                <w:sz w:val="20"/>
                <w:szCs w:val="20"/>
              </w:rPr>
              <w:t xml:space="preserve">Aggiornamento almeno annuale; disponibilità di analisi, best practice, linee guida/template (strategia digitale, evoluzioni tecnologiche e </w:t>
            </w:r>
            <w:proofErr w:type="spellStart"/>
            <w:r w:rsidRPr="00C66F03">
              <w:rPr>
                <w:rFonts w:ascii="Arial" w:hAnsi="Arial" w:cs="Arial"/>
                <w:sz w:val="20"/>
                <w:szCs w:val="20"/>
              </w:rPr>
              <w:t>vendor</w:t>
            </w:r>
            <w:proofErr w:type="spellEnd"/>
            <w:r w:rsidRPr="00C66F03">
              <w:rPr>
                <w:rFonts w:ascii="Arial" w:hAnsi="Arial" w:cs="Arial"/>
                <w:sz w:val="20"/>
                <w:szCs w:val="20"/>
              </w:rPr>
              <w:t>, contrattualistica, PM, valutazioni organizzative/processuali, ecc.).</w:t>
            </w:r>
          </w:p>
        </w:tc>
      </w:tr>
      <w:tr w:rsidR="00B913E1" w:rsidRPr="00F82995" w14:paraId="78A37CC2"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587843A" w14:textId="77777777" w:rsidR="00B913E1" w:rsidRPr="00C75AD7" w:rsidRDefault="00B913E1">
            <w:pPr>
              <w:jc w:val="both"/>
              <w:rPr>
                <w:rFonts w:ascii="Arial" w:eastAsiaTheme="minorEastAsia" w:hAnsi="Arial" w:cs="Arial"/>
              </w:rPr>
            </w:pPr>
            <w:r w:rsidRPr="00C66F03">
              <w:rPr>
                <w:rFonts w:ascii="Arial" w:hAnsi="Arial" w:cs="Arial"/>
                <w:sz w:val="20"/>
                <w:szCs w:val="20"/>
              </w:rPr>
              <w:t>R6</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AE8717E" w14:textId="77777777" w:rsidR="00B913E1" w:rsidRPr="00C75AD7" w:rsidRDefault="00B913E1">
            <w:pPr>
              <w:jc w:val="both"/>
              <w:rPr>
                <w:rFonts w:ascii="Arial" w:hAnsi="Arial" w:cs="Arial"/>
              </w:rPr>
            </w:pPr>
            <w:r w:rsidRPr="00C66F03">
              <w:rPr>
                <w:rFonts w:ascii="Arial" w:hAnsi="Arial" w:cs="Arial"/>
                <w:sz w:val="20"/>
                <w:szCs w:val="20"/>
              </w:rPr>
              <w:t>Contenuti della Ricerca ICT Tecnica</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256F977" w14:textId="77777777" w:rsidR="00B913E1" w:rsidRPr="00C75AD7" w:rsidRDefault="00B913E1">
            <w:pPr>
              <w:numPr>
                <w:ilvl w:val="0"/>
                <w:numId w:val="11"/>
              </w:numPr>
              <w:jc w:val="both"/>
              <w:rPr>
                <w:rFonts w:ascii="Arial" w:hAnsi="Arial" w:cs="Arial"/>
              </w:rPr>
            </w:pPr>
            <w:r w:rsidRPr="00C66F03">
              <w:rPr>
                <w:rFonts w:ascii="Arial" w:hAnsi="Arial" w:cs="Arial"/>
                <w:sz w:val="20"/>
                <w:szCs w:val="20"/>
              </w:rPr>
              <w:t xml:space="preserve">Guide architetturali / </w:t>
            </w:r>
            <w:proofErr w:type="spellStart"/>
            <w:r w:rsidRPr="00C66F03">
              <w:rPr>
                <w:rFonts w:ascii="Arial" w:hAnsi="Arial" w:cs="Arial"/>
                <w:sz w:val="20"/>
                <w:szCs w:val="20"/>
              </w:rPr>
              <w:t>reference</w:t>
            </w:r>
            <w:proofErr w:type="spellEnd"/>
            <w:r w:rsidRPr="00C66F03">
              <w:rPr>
                <w:rFonts w:ascii="Arial" w:hAnsi="Arial" w:cs="Arial"/>
                <w:sz w:val="20"/>
                <w:szCs w:val="20"/>
              </w:rPr>
              <w:t xml:space="preserve"> </w:t>
            </w:r>
            <w:proofErr w:type="spellStart"/>
            <w:r w:rsidRPr="00C66F03">
              <w:rPr>
                <w:rFonts w:ascii="Arial" w:hAnsi="Arial" w:cs="Arial"/>
                <w:sz w:val="20"/>
                <w:szCs w:val="20"/>
              </w:rPr>
              <w:t>architecture</w:t>
            </w:r>
            <w:proofErr w:type="spellEnd"/>
            <w:r w:rsidRPr="00C66F03">
              <w:rPr>
                <w:rFonts w:ascii="Arial" w:hAnsi="Arial" w:cs="Arial"/>
                <w:sz w:val="20"/>
                <w:szCs w:val="20"/>
              </w:rPr>
              <w:t xml:space="preserve">; </w:t>
            </w:r>
            <w:proofErr w:type="spellStart"/>
            <w:r w:rsidRPr="00C66F03">
              <w:rPr>
                <w:rFonts w:ascii="Arial" w:hAnsi="Arial" w:cs="Arial"/>
                <w:sz w:val="20"/>
                <w:szCs w:val="20"/>
              </w:rPr>
              <w:t>evaluation</w:t>
            </w:r>
            <w:proofErr w:type="spellEnd"/>
            <w:r w:rsidRPr="00C66F03">
              <w:rPr>
                <w:rFonts w:ascii="Arial" w:hAnsi="Arial" w:cs="Arial"/>
                <w:sz w:val="20"/>
                <w:szCs w:val="20"/>
              </w:rPr>
              <w:t xml:space="preserve"> </w:t>
            </w:r>
            <w:proofErr w:type="spellStart"/>
            <w:r w:rsidRPr="00C66F03">
              <w:rPr>
                <w:rFonts w:ascii="Arial" w:hAnsi="Arial" w:cs="Arial"/>
                <w:sz w:val="20"/>
                <w:szCs w:val="20"/>
              </w:rPr>
              <w:t>criteria</w:t>
            </w:r>
            <w:proofErr w:type="spellEnd"/>
            <w:r w:rsidRPr="00C66F03">
              <w:rPr>
                <w:rFonts w:ascii="Arial" w:hAnsi="Arial" w:cs="Arial"/>
                <w:sz w:val="20"/>
                <w:szCs w:val="20"/>
              </w:rPr>
              <w:t xml:space="preserve"> &amp; product </w:t>
            </w:r>
            <w:proofErr w:type="spellStart"/>
            <w:r w:rsidRPr="00C66F03">
              <w:rPr>
                <w:rFonts w:ascii="Arial" w:hAnsi="Arial" w:cs="Arial"/>
                <w:sz w:val="20"/>
                <w:szCs w:val="20"/>
              </w:rPr>
              <w:t>assessments</w:t>
            </w:r>
            <w:proofErr w:type="spellEnd"/>
            <w:r w:rsidRPr="00C66F03">
              <w:rPr>
                <w:rFonts w:ascii="Arial" w:hAnsi="Arial" w:cs="Arial"/>
                <w:sz w:val="20"/>
                <w:szCs w:val="20"/>
              </w:rPr>
              <w:t>.</w:t>
            </w:r>
          </w:p>
          <w:p w14:paraId="1DAD2C77" w14:textId="77777777" w:rsidR="00B913E1" w:rsidRPr="00C75AD7" w:rsidRDefault="00B913E1">
            <w:pPr>
              <w:numPr>
                <w:ilvl w:val="0"/>
                <w:numId w:val="11"/>
              </w:numPr>
              <w:jc w:val="both"/>
              <w:rPr>
                <w:rFonts w:ascii="Arial" w:hAnsi="Arial" w:cs="Arial"/>
              </w:rPr>
            </w:pPr>
            <w:r w:rsidRPr="00C66F03">
              <w:rPr>
                <w:rFonts w:ascii="Arial" w:hAnsi="Arial" w:cs="Arial"/>
                <w:sz w:val="20"/>
                <w:szCs w:val="20"/>
              </w:rPr>
              <w:t xml:space="preserve">≥100 analisti su ricerca tecnica; </w:t>
            </w:r>
            <w:proofErr w:type="spellStart"/>
            <w:r w:rsidRPr="00C66F03">
              <w:rPr>
                <w:rFonts w:ascii="Arial" w:hAnsi="Arial" w:cs="Arial"/>
                <w:sz w:val="20"/>
                <w:szCs w:val="20"/>
              </w:rPr>
              <w:t>inquiry</w:t>
            </w:r>
            <w:proofErr w:type="spellEnd"/>
            <w:r w:rsidRPr="00C66F03">
              <w:rPr>
                <w:rFonts w:ascii="Arial" w:hAnsi="Arial" w:cs="Arial"/>
                <w:sz w:val="20"/>
                <w:szCs w:val="20"/>
              </w:rPr>
              <w:t xml:space="preserve"> fino a 60’.</w:t>
            </w:r>
          </w:p>
          <w:p w14:paraId="178F89BB" w14:textId="77777777" w:rsidR="00B913E1" w:rsidRPr="00C75AD7" w:rsidRDefault="00B913E1">
            <w:pPr>
              <w:numPr>
                <w:ilvl w:val="0"/>
                <w:numId w:val="11"/>
              </w:numPr>
              <w:jc w:val="both"/>
              <w:rPr>
                <w:rFonts w:ascii="Arial" w:hAnsi="Arial" w:cs="Arial"/>
                <w:lang w:val="en-US"/>
              </w:rPr>
            </w:pPr>
            <w:r w:rsidRPr="00C75AD7">
              <w:rPr>
                <w:rFonts w:ascii="Arial" w:hAnsi="Arial" w:cs="Arial"/>
                <w:sz w:val="20"/>
                <w:szCs w:val="20"/>
              </w:rPr>
              <w:t xml:space="preserve">Copertura di ambiti e sotto-ambiti (es. </w:t>
            </w:r>
            <w:r w:rsidRPr="00C66F03">
              <w:rPr>
                <w:rFonts w:ascii="Arial" w:hAnsi="Arial" w:cs="Arial"/>
                <w:sz w:val="20"/>
                <w:szCs w:val="20"/>
                <w:lang w:val="en-US"/>
              </w:rPr>
              <w:t xml:space="preserve">Data Center, Hybrid, Networking, Containers/Kubernetes, 5G, IT Ops &amp; Cloud </w:t>
            </w:r>
            <w:proofErr w:type="spellStart"/>
            <w:r w:rsidRPr="00C66F03">
              <w:rPr>
                <w:rFonts w:ascii="Arial" w:hAnsi="Arial" w:cs="Arial"/>
                <w:sz w:val="20"/>
                <w:szCs w:val="20"/>
                <w:lang w:val="en-US"/>
              </w:rPr>
              <w:t>Mgmt</w:t>
            </w:r>
            <w:proofErr w:type="spellEnd"/>
            <w:r w:rsidRPr="00C66F03">
              <w:rPr>
                <w:rFonts w:ascii="Arial" w:hAnsi="Arial" w:cs="Arial"/>
                <w:sz w:val="20"/>
                <w:szCs w:val="20"/>
                <w:lang w:val="en-US"/>
              </w:rPr>
              <w:t xml:space="preserve">, IAM, Security, App Architecture/Dev, Enterprise Apps, Collaboration/EUC, Analytics &amp; AI, Data Management, </w:t>
            </w:r>
            <w:proofErr w:type="spellStart"/>
            <w:r w:rsidRPr="00C66F03">
              <w:rPr>
                <w:rFonts w:ascii="Arial" w:hAnsi="Arial" w:cs="Arial"/>
                <w:sz w:val="20"/>
                <w:szCs w:val="20"/>
                <w:lang w:val="en-US"/>
              </w:rPr>
              <w:t>ecc</w:t>
            </w:r>
            <w:proofErr w:type="spellEnd"/>
            <w:r w:rsidRPr="00C66F03">
              <w:rPr>
                <w:rFonts w:ascii="Arial" w:hAnsi="Arial" w:cs="Arial"/>
                <w:sz w:val="20"/>
                <w:szCs w:val="20"/>
                <w:lang w:val="en-US"/>
              </w:rPr>
              <w:t>.).</w:t>
            </w:r>
          </w:p>
        </w:tc>
      </w:tr>
      <w:tr w:rsidR="00B913E1" w:rsidRPr="00F82995" w14:paraId="0F442D1B"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2F616AA" w14:textId="77777777" w:rsidR="00B913E1" w:rsidRPr="00C75AD7" w:rsidRDefault="00B913E1">
            <w:pPr>
              <w:jc w:val="both"/>
              <w:rPr>
                <w:rFonts w:ascii="Arial" w:eastAsiaTheme="minorEastAsia" w:hAnsi="Arial" w:cs="Arial"/>
              </w:rPr>
            </w:pPr>
            <w:r w:rsidRPr="00C66F03">
              <w:rPr>
                <w:rFonts w:ascii="Arial" w:hAnsi="Arial" w:cs="Arial"/>
                <w:sz w:val="20"/>
                <w:szCs w:val="20"/>
              </w:rPr>
              <w:t>R7</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5D038B9" w14:textId="77777777" w:rsidR="00B913E1" w:rsidRPr="00C75AD7" w:rsidRDefault="00B913E1">
            <w:pPr>
              <w:jc w:val="both"/>
              <w:rPr>
                <w:rFonts w:ascii="Arial" w:hAnsi="Arial" w:cs="Arial"/>
              </w:rPr>
            </w:pPr>
            <w:r w:rsidRPr="00C66F03">
              <w:rPr>
                <w:rFonts w:ascii="Arial" w:hAnsi="Arial" w:cs="Arial"/>
                <w:sz w:val="20"/>
                <w:szCs w:val="20"/>
              </w:rPr>
              <w:t>Contenuti della Ricerca in ambito Finance</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01CD731" w14:textId="77777777" w:rsidR="00B913E1" w:rsidRPr="00C75AD7" w:rsidRDefault="00B913E1">
            <w:pPr>
              <w:numPr>
                <w:ilvl w:val="0"/>
                <w:numId w:val="12"/>
              </w:numPr>
              <w:jc w:val="both"/>
              <w:rPr>
                <w:rFonts w:ascii="Arial" w:hAnsi="Arial" w:cs="Arial"/>
              </w:rPr>
            </w:pPr>
            <w:r w:rsidRPr="00C66F03">
              <w:rPr>
                <w:rFonts w:ascii="Arial" w:hAnsi="Arial" w:cs="Arial"/>
                <w:sz w:val="20"/>
                <w:szCs w:val="20"/>
              </w:rPr>
              <w:t xml:space="preserve">Accesso illimitato a ≥100 analisti (≥2 in lingua italiana) e documenti/case study per </w:t>
            </w:r>
            <w:proofErr w:type="spellStart"/>
            <w:r w:rsidRPr="00C66F03">
              <w:rPr>
                <w:rFonts w:ascii="Arial" w:hAnsi="Arial" w:cs="Arial"/>
                <w:sz w:val="20"/>
                <w:szCs w:val="20"/>
              </w:rPr>
              <w:t>finance</w:t>
            </w:r>
            <w:proofErr w:type="spellEnd"/>
            <w:r w:rsidRPr="00C66F03">
              <w:rPr>
                <w:rFonts w:ascii="Arial" w:hAnsi="Arial" w:cs="Arial"/>
                <w:sz w:val="20"/>
                <w:szCs w:val="20"/>
              </w:rPr>
              <w:t xml:space="preserve"> </w:t>
            </w:r>
            <w:proofErr w:type="spellStart"/>
            <w:r w:rsidRPr="00C66F03">
              <w:rPr>
                <w:rFonts w:ascii="Arial" w:hAnsi="Arial" w:cs="Arial"/>
                <w:sz w:val="20"/>
                <w:szCs w:val="20"/>
              </w:rPr>
              <w:t>transformation</w:t>
            </w:r>
            <w:proofErr w:type="spellEnd"/>
            <w:r w:rsidRPr="00C66F03">
              <w:rPr>
                <w:rFonts w:ascii="Arial" w:hAnsi="Arial" w:cs="Arial"/>
                <w:sz w:val="20"/>
                <w:szCs w:val="20"/>
              </w:rPr>
              <w:t>.</w:t>
            </w:r>
          </w:p>
          <w:p w14:paraId="2D783F4E" w14:textId="77777777" w:rsidR="00B913E1" w:rsidRPr="00C75AD7" w:rsidRDefault="00B913E1">
            <w:pPr>
              <w:numPr>
                <w:ilvl w:val="0"/>
                <w:numId w:val="12"/>
              </w:numPr>
              <w:jc w:val="both"/>
              <w:rPr>
                <w:rFonts w:ascii="Arial" w:hAnsi="Arial" w:cs="Arial"/>
                <w:lang w:val="en-US"/>
              </w:rPr>
            </w:pPr>
            <w:r w:rsidRPr="00C75AD7">
              <w:rPr>
                <w:rFonts w:ascii="Arial" w:hAnsi="Arial" w:cs="Arial"/>
                <w:sz w:val="20"/>
                <w:szCs w:val="20"/>
                <w:lang w:val="en-US"/>
              </w:rPr>
              <w:t xml:space="preserve">≥100 </w:t>
            </w:r>
            <w:proofErr w:type="spellStart"/>
            <w:r w:rsidRPr="00C75AD7">
              <w:rPr>
                <w:rFonts w:ascii="Arial" w:hAnsi="Arial" w:cs="Arial"/>
                <w:sz w:val="20"/>
                <w:szCs w:val="20"/>
                <w:lang w:val="en-US"/>
              </w:rPr>
              <w:t>documenti</w:t>
            </w:r>
            <w:proofErr w:type="spellEnd"/>
            <w:r w:rsidRPr="00C75AD7">
              <w:rPr>
                <w:rFonts w:ascii="Arial" w:hAnsi="Arial" w:cs="Arial"/>
                <w:sz w:val="20"/>
                <w:szCs w:val="20"/>
                <w:lang w:val="en-US"/>
              </w:rPr>
              <w:t xml:space="preserve">/guide/toolkit/webinar </w:t>
            </w:r>
            <w:proofErr w:type="spellStart"/>
            <w:r w:rsidRPr="00C75AD7">
              <w:rPr>
                <w:rFonts w:ascii="Arial" w:hAnsi="Arial" w:cs="Arial"/>
                <w:sz w:val="20"/>
                <w:szCs w:val="20"/>
                <w:lang w:val="en-US"/>
              </w:rPr>
              <w:t>su</w:t>
            </w:r>
            <w:proofErr w:type="spellEnd"/>
            <w:r w:rsidRPr="00C75AD7">
              <w:rPr>
                <w:rFonts w:ascii="Arial" w:hAnsi="Arial" w:cs="Arial"/>
                <w:sz w:val="20"/>
                <w:szCs w:val="20"/>
                <w:lang w:val="en-US"/>
              </w:rPr>
              <w:t xml:space="preserve"> cash flow e working capital.</w:t>
            </w:r>
          </w:p>
          <w:p w14:paraId="79215844" w14:textId="77777777" w:rsidR="00B913E1" w:rsidRPr="00C75AD7" w:rsidRDefault="00B913E1">
            <w:pPr>
              <w:numPr>
                <w:ilvl w:val="0"/>
                <w:numId w:val="12"/>
              </w:numPr>
              <w:jc w:val="both"/>
              <w:rPr>
                <w:rFonts w:ascii="Arial" w:hAnsi="Arial" w:cs="Arial"/>
                <w:lang w:val="en-US"/>
              </w:rPr>
            </w:pPr>
            <w:r w:rsidRPr="00C75AD7">
              <w:rPr>
                <w:rFonts w:ascii="Arial" w:hAnsi="Arial" w:cs="Arial"/>
                <w:sz w:val="20"/>
                <w:szCs w:val="20"/>
                <w:lang w:val="en-US"/>
              </w:rPr>
              <w:t xml:space="preserve">Benchmark </w:t>
            </w:r>
            <w:proofErr w:type="spellStart"/>
            <w:r w:rsidRPr="00C75AD7">
              <w:rPr>
                <w:rFonts w:ascii="Arial" w:hAnsi="Arial" w:cs="Arial"/>
                <w:sz w:val="20"/>
                <w:szCs w:val="20"/>
                <w:lang w:val="en-US"/>
              </w:rPr>
              <w:t>su</w:t>
            </w:r>
            <w:proofErr w:type="spellEnd"/>
            <w:r w:rsidRPr="00C75AD7">
              <w:rPr>
                <w:rFonts w:ascii="Arial" w:hAnsi="Arial" w:cs="Arial"/>
                <w:sz w:val="20"/>
                <w:szCs w:val="20"/>
                <w:lang w:val="en-US"/>
              </w:rPr>
              <w:t xml:space="preserve"> efficiency/maturity/spend (</w:t>
            </w:r>
            <w:proofErr w:type="spellStart"/>
            <w:r w:rsidRPr="00C75AD7">
              <w:rPr>
                <w:rFonts w:ascii="Arial" w:hAnsi="Arial" w:cs="Arial"/>
                <w:sz w:val="20"/>
                <w:szCs w:val="20"/>
                <w:lang w:val="en-US"/>
              </w:rPr>
              <w:t>confronto</w:t>
            </w:r>
            <w:proofErr w:type="spellEnd"/>
            <w:r w:rsidRPr="00C75AD7">
              <w:rPr>
                <w:rFonts w:ascii="Arial" w:hAnsi="Arial" w:cs="Arial"/>
                <w:sz w:val="20"/>
                <w:szCs w:val="20"/>
                <w:lang w:val="en-US"/>
              </w:rPr>
              <w:t xml:space="preserve"> ≥3000 </w:t>
            </w:r>
            <w:proofErr w:type="spellStart"/>
            <w:r w:rsidRPr="00C75AD7">
              <w:rPr>
                <w:rFonts w:ascii="Arial" w:hAnsi="Arial" w:cs="Arial"/>
                <w:sz w:val="20"/>
                <w:szCs w:val="20"/>
                <w:lang w:val="en-US"/>
              </w:rPr>
              <w:t>aziende</w:t>
            </w:r>
            <w:proofErr w:type="spellEnd"/>
            <w:r w:rsidRPr="00C75AD7">
              <w:rPr>
                <w:rFonts w:ascii="Arial" w:hAnsi="Arial" w:cs="Arial"/>
                <w:sz w:val="20"/>
                <w:szCs w:val="20"/>
                <w:lang w:val="en-US"/>
              </w:rPr>
              <w:t xml:space="preserve">) e </w:t>
            </w:r>
            <w:proofErr w:type="spellStart"/>
            <w:r w:rsidRPr="00C75AD7">
              <w:rPr>
                <w:rFonts w:ascii="Arial" w:hAnsi="Arial" w:cs="Arial"/>
                <w:sz w:val="20"/>
                <w:szCs w:val="20"/>
                <w:lang w:val="en-US"/>
              </w:rPr>
              <w:t>strumenti</w:t>
            </w:r>
            <w:proofErr w:type="spellEnd"/>
            <w:r w:rsidRPr="00C75AD7">
              <w:rPr>
                <w:rFonts w:ascii="Arial" w:hAnsi="Arial" w:cs="Arial"/>
                <w:sz w:val="20"/>
                <w:szCs w:val="20"/>
                <w:lang w:val="en-US"/>
              </w:rPr>
              <w:t xml:space="preserve"> di </w:t>
            </w:r>
            <w:r w:rsidRPr="00C75AD7">
              <w:rPr>
                <w:rFonts w:ascii="Arial" w:hAnsi="Arial" w:cs="Arial"/>
                <w:sz w:val="20"/>
                <w:szCs w:val="20"/>
                <w:lang w:val="en-US"/>
              </w:rPr>
              <w:lastRenderedPageBreak/>
              <w:t xml:space="preserve">assessment/template (maturity/spend/headcount/digital finance per PA, </w:t>
            </w:r>
            <w:proofErr w:type="spellStart"/>
            <w:r w:rsidRPr="00C75AD7">
              <w:rPr>
                <w:rFonts w:ascii="Arial" w:hAnsi="Arial" w:cs="Arial"/>
                <w:sz w:val="20"/>
                <w:szCs w:val="20"/>
                <w:lang w:val="en-US"/>
              </w:rPr>
              <w:t>ecc</w:t>
            </w:r>
            <w:proofErr w:type="spellEnd"/>
            <w:r w:rsidRPr="00C75AD7">
              <w:rPr>
                <w:rFonts w:ascii="Arial" w:hAnsi="Arial" w:cs="Arial"/>
                <w:sz w:val="20"/>
                <w:szCs w:val="20"/>
                <w:lang w:val="en-US"/>
              </w:rPr>
              <w:t>.).</w:t>
            </w:r>
          </w:p>
        </w:tc>
      </w:tr>
      <w:tr w:rsidR="00B913E1" w:rsidRPr="00C66F03" w14:paraId="602FD275"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58316C9" w14:textId="77777777" w:rsidR="00B913E1" w:rsidRPr="00C75AD7" w:rsidRDefault="00B913E1">
            <w:pPr>
              <w:jc w:val="both"/>
              <w:rPr>
                <w:rFonts w:ascii="Arial" w:eastAsiaTheme="minorEastAsia" w:hAnsi="Arial" w:cs="Arial"/>
              </w:rPr>
            </w:pPr>
            <w:r w:rsidRPr="00C66F03">
              <w:rPr>
                <w:rFonts w:ascii="Arial" w:hAnsi="Arial" w:cs="Arial"/>
                <w:sz w:val="20"/>
                <w:szCs w:val="20"/>
              </w:rPr>
              <w:lastRenderedPageBreak/>
              <w:t>R8</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10DFCC7" w14:textId="77777777" w:rsidR="00B913E1" w:rsidRPr="00C75AD7" w:rsidRDefault="00B913E1">
            <w:pPr>
              <w:jc w:val="both"/>
              <w:rPr>
                <w:rFonts w:ascii="Arial" w:hAnsi="Arial" w:cs="Arial"/>
              </w:rPr>
            </w:pPr>
            <w:r w:rsidRPr="00C66F03">
              <w:rPr>
                <w:rFonts w:ascii="Arial" w:hAnsi="Arial" w:cs="Arial"/>
                <w:sz w:val="20"/>
                <w:szCs w:val="20"/>
              </w:rPr>
              <w:t>Accesso agli Analisti Italiani ed Internazionali</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0A73D61" w14:textId="77777777" w:rsidR="00B913E1" w:rsidRPr="00C75AD7" w:rsidRDefault="00B913E1">
            <w:pPr>
              <w:numPr>
                <w:ilvl w:val="0"/>
                <w:numId w:val="13"/>
              </w:numPr>
              <w:jc w:val="both"/>
              <w:rPr>
                <w:rFonts w:ascii="Arial" w:hAnsi="Arial" w:cs="Arial"/>
              </w:rPr>
            </w:pPr>
            <w:r w:rsidRPr="00C66F03">
              <w:rPr>
                <w:rFonts w:ascii="Arial" w:hAnsi="Arial" w:cs="Arial"/>
                <w:sz w:val="20"/>
                <w:szCs w:val="20"/>
              </w:rPr>
              <w:t>Analisti dipendenti e dedicati full time alla ricerca; presenza stabile di strutture di ricerca in UE e mondo.</w:t>
            </w:r>
          </w:p>
          <w:p w14:paraId="4AEA78F8" w14:textId="77777777" w:rsidR="00B913E1" w:rsidRPr="00C75AD7" w:rsidRDefault="00B913E1">
            <w:pPr>
              <w:numPr>
                <w:ilvl w:val="0"/>
                <w:numId w:val="13"/>
              </w:numPr>
              <w:jc w:val="both"/>
              <w:rPr>
                <w:rFonts w:ascii="Arial" w:hAnsi="Arial" w:cs="Arial"/>
              </w:rPr>
            </w:pPr>
            <w:r w:rsidRPr="00C66F03">
              <w:rPr>
                <w:rFonts w:ascii="Arial" w:hAnsi="Arial" w:cs="Arial"/>
                <w:sz w:val="20"/>
                <w:szCs w:val="20"/>
              </w:rPr>
              <w:t>Capacità minima: ≥2000 analisti ricerca (no vendita/consulenza); ≥15 madrelingua italiani; ≥1 analista ITA su Government/PA; produttività media ≥5 ricerche ICT/anno.</w:t>
            </w:r>
          </w:p>
          <w:p w14:paraId="202FADEB" w14:textId="77777777" w:rsidR="00B913E1" w:rsidRPr="00C75AD7" w:rsidRDefault="00B913E1">
            <w:pPr>
              <w:numPr>
                <w:ilvl w:val="0"/>
                <w:numId w:val="13"/>
              </w:numPr>
              <w:jc w:val="both"/>
              <w:rPr>
                <w:rFonts w:ascii="Arial" w:hAnsi="Arial" w:cs="Arial"/>
              </w:rPr>
            </w:pPr>
            <w:r w:rsidRPr="00C66F03">
              <w:rPr>
                <w:rFonts w:ascii="Arial" w:hAnsi="Arial" w:cs="Arial"/>
                <w:sz w:val="20"/>
                <w:szCs w:val="20"/>
              </w:rPr>
              <w:t xml:space="preserve">Coperture minime: ≥150 analisti ricerca tecnica ICT; ≥100 HR; ≥100 Finance; </w:t>
            </w:r>
            <w:proofErr w:type="gramStart"/>
            <w:r w:rsidRPr="00C66F03">
              <w:rPr>
                <w:rFonts w:ascii="Arial" w:hAnsi="Arial" w:cs="Arial"/>
                <w:sz w:val="20"/>
                <w:szCs w:val="20"/>
              </w:rPr>
              <w:t>team internazionale</w:t>
            </w:r>
            <w:proofErr w:type="gramEnd"/>
            <w:r w:rsidRPr="00C66F03">
              <w:rPr>
                <w:rFonts w:ascii="Arial" w:hAnsi="Arial" w:cs="Arial"/>
                <w:sz w:val="20"/>
                <w:szCs w:val="20"/>
              </w:rPr>
              <w:t xml:space="preserve"> ≥20 su Pubblica Amministrazione.</w:t>
            </w:r>
          </w:p>
        </w:tc>
      </w:tr>
      <w:tr w:rsidR="00B913E1" w:rsidRPr="00C66F03" w14:paraId="3A6F4073"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5A9B44A" w14:textId="77777777" w:rsidR="00B913E1" w:rsidRPr="00C75AD7" w:rsidRDefault="00B913E1">
            <w:pPr>
              <w:jc w:val="both"/>
              <w:rPr>
                <w:rFonts w:ascii="Arial" w:eastAsiaTheme="minorEastAsia" w:hAnsi="Arial" w:cs="Arial"/>
              </w:rPr>
            </w:pPr>
            <w:r w:rsidRPr="00C66F03">
              <w:rPr>
                <w:rFonts w:ascii="Arial" w:hAnsi="Arial" w:cs="Arial"/>
                <w:sz w:val="20"/>
                <w:szCs w:val="20"/>
              </w:rPr>
              <w:t>R9</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A762FEE" w14:textId="2610E8F9" w:rsidR="00B913E1" w:rsidRPr="00C75AD7" w:rsidRDefault="00B913E1">
            <w:pPr>
              <w:jc w:val="both"/>
              <w:rPr>
                <w:rFonts w:ascii="Arial" w:hAnsi="Arial" w:cs="Arial"/>
              </w:rPr>
            </w:pPr>
            <w:r w:rsidRPr="00C66F03">
              <w:rPr>
                <w:rFonts w:ascii="Arial" w:hAnsi="Arial" w:cs="Arial"/>
                <w:sz w:val="20"/>
                <w:szCs w:val="20"/>
              </w:rPr>
              <w:t>Supporto ed accesso a Esperti / ex-CIO (Italia) per la Ricerca ICT Strategica</w:t>
            </w:r>
            <w:r w:rsidR="005271E1" w:rsidRPr="00C66F03">
              <w:rPr>
                <w:rFonts w:ascii="Arial" w:hAnsi="Arial" w:cs="Arial"/>
                <w:sz w:val="20"/>
                <w:szCs w:val="20"/>
              </w:rPr>
              <w:t xml:space="preserve"> destinato alle figure manageriali del Cliente</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319AE61" w14:textId="77777777" w:rsidR="00B913E1" w:rsidRPr="00C75AD7" w:rsidRDefault="00B913E1">
            <w:pPr>
              <w:numPr>
                <w:ilvl w:val="0"/>
                <w:numId w:val="14"/>
              </w:numPr>
              <w:jc w:val="both"/>
              <w:rPr>
                <w:rFonts w:ascii="Arial" w:hAnsi="Arial" w:cs="Arial"/>
              </w:rPr>
            </w:pPr>
            <w:r w:rsidRPr="00C66F03">
              <w:rPr>
                <w:rFonts w:ascii="Arial" w:hAnsi="Arial" w:cs="Arial"/>
                <w:sz w:val="20"/>
                <w:szCs w:val="20"/>
              </w:rPr>
              <w:t>Supporto dedicato per comprensione e contestualizzazione su Sogei/PA; team in lingua italiana, dedicato full time (non ricerca/consulenza/vendita), con presenza locale.</w:t>
            </w:r>
          </w:p>
          <w:p w14:paraId="2B438EE3" w14:textId="77777777" w:rsidR="00B913E1" w:rsidRPr="00C75AD7" w:rsidRDefault="00B913E1">
            <w:pPr>
              <w:numPr>
                <w:ilvl w:val="0"/>
                <w:numId w:val="14"/>
              </w:numPr>
              <w:jc w:val="both"/>
              <w:rPr>
                <w:rFonts w:ascii="Arial" w:hAnsi="Arial" w:cs="Arial"/>
              </w:rPr>
            </w:pPr>
            <w:r w:rsidRPr="00C66F03">
              <w:rPr>
                <w:rFonts w:ascii="Arial" w:hAnsi="Arial" w:cs="Arial"/>
                <w:sz w:val="20"/>
                <w:szCs w:val="20"/>
              </w:rPr>
              <w:t>Capacità minima: ≥10 esperti ITA; ≥6 esperti assegnati; almeno 1 risorsa con ≥5 anni come CIO/Direttore SI in organizzazioni comparabili; ≥5 risorse con esperienza &gt;10 anni su contestualizzazione.</w:t>
            </w:r>
          </w:p>
          <w:p w14:paraId="59CD7786" w14:textId="77777777" w:rsidR="00B913E1" w:rsidRPr="00C75AD7" w:rsidRDefault="00B913E1">
            <w:pPr>
              <w:numPr>
                <w:ilvl w:val="0"/>
                <w:numId w:val="14"/>
              </w:numPr>
              <w:jc w:val="both"/>
              <w:rPr>
                <w:rFonts w:ascii="Arial" w:hAnsi="Arial" w:cs="Arial"/>
              </w:rPr>
            </w:pPr>
            <w:r w:rsidRPr="00C66F03">
              <w:rPr>
                <w:rFonts w:ascii="Arial" w:hAnsi="Arial" w:cs="Arial"/>
                <w:sz w:val="20"/>
                <w:szCs w:val="20"/>
              </w:rPr>
              <w:t>Attività: incontri applicativi, confronto analisti, verifica best practice, interazione con altri executive/clienti.</w:t>
            </w:r>
          </w:p>
        </w:tc>
      </w:tr>
      <w:tr w:rsidR="00B913E1" w:rsidRPr="00C66F03" w14:paraId="20650A82"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9083D6A" w14:textId="77777777" w:rsidR="00B913E1" w:rsidRPr="00C75AD7" w:rsidRDefault="00B913E1">
            <w:pPr>
              <w:jc w:val="both"/>
              <w:rPr>
                <w:rFonts w:ascii="Arial" w:eastAsiaTheme="minorEastAsia" w:hAnsi="Arial" w:cs="Arial"/>
              </w:rPr>
            </w:pPr>
            <w:r w:rsidRPr="00C66F03">
              <w:rPr>
                <w:rFonts w:ascii="Arial" w:hAnsi="Arial" w:cs="Arial"/>
                <w:sz w:val="20"/>
                <w:szCs w:val="20"/>
              </w:rPr>
              <w:t>R10</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C28E9D8" w14:textId="77777777" w:rsidR="00B913E1" w:rsidRPr="00C75AD7" w:rsidRDefault="00B913E1">
            <w:pPr>
              <w:jc w:val="both"/>
              <w:rPr>
                <w:rFonts w:ascii="Arial" w:hAnsi="Arial" w:cs="Arial"/>
              </w:rPr>
            </w:pPr>
            <w:r w:rsidRPr="00C66F03">
              <w:rPr>
                <w:rFonts w:ascii="Arial" w:hAnsi="Arial" w:cs="Arial"/>
                <w:sz w:val="20"/>
                <w:szCs w:val="20"/>
              </w:rPr>
              <w:t xml:space="preserve">Repository unico per Ricerca in ambito </w:t>
            </w:r>
            <w:proofErr w:type="spellStart"/>
            <w:r w:rsidRPr="00C66F03">
              <w:rPr>
                <w:rFonts w:ascii="Arial" w:hAnsi="Arial" w:cs="Arial"/>
                <w:sz w:val="20"/>
                <w:szCs w:val="20"/>
              </w:rPr>
              <w:t>Artificial</w:t>
            </w:r>
            <w:proofErr w:type="spellEnd"/>
            <w:r w:rsidRPr="00C66F03">
              <w:rPr>
                <w:rFonts w:ascii="Arial" w:hAnsi="Arial" w:cs="Arial"/>
                <w:sz w:val="20"/>
                <w:szCs w:val="20"/>
              </w:rPr>
              <w:t xml:space="preserve"> Intelligence</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89FD13F" w14:textId="77777777" w:rsidR="00B913E1" w:rsidRPr="00C75AD7" w:rsidRDefault="00B913E1">
            <w:pPr>
              <w:numPr>
                <w:ilvl w:val="0"/>
                <w:numId w:val="15"/>
              </w:numPr>
              <w:jc w:val="both"/>
              <w:rPr>
                <w:rFonts w:ascii="Arial" w:hAnsi="Arial" w:cs="Arial"/>
              </w:rPr>
            </w:pPr>
            <w:r w:rsidRPr="00C66F03">
              <w:rPr>
                <w:rFonts w:ascii="Arial" w:hAnsi="Arial" w:cs="Arial"/>
                <w:sz w:val="20"/>
                <w:szCs w:val="20"/>
              </w:rPr>
              <w:t>Area dedicata (portale) con documenti, casi d’uso e webinar su AI.</w:t>
            </w:r>
          </w:p>
          <w:p w14:paraId="662B2631" w14:textId="71607A1F" w:rsidR="00B913E1" w:rsidRPr="00C75AD7" w:rsidRDefault="00B913E1">
            <w:pPr>
              <w:numPr>
                <w:ilvl w:val="0"/>
                <w:numId w:val="15"/>
              </w:numPr>
              <w:jc w:val="both"/>
              <w:rPr>
                <w:rFonts w:ascii="Arial" w:hAnsi="Arial" w:cs="Arial"/>
              </w:rPr>
            </w:pPr>
            <w:r w:rsidRPr="00C66F03">
              <w:rPr>
                <w:rFonts w:ascii="Arial" w:hAnsi="Arial" w:cs="Arial"/>
                <w:sz w:val="20"/>
                <w:szCs w:val="20"/>
              </w:rPr>
              <w:t>Capacità minima: ≥50 analisti sul tema; da gennaio 202</w:t>
            </w:r>
            <w:r w:rsidR="00867BFB" w:rsidRPr="00C66F03">
              <w:rPr>
                <w:rFonts w:ascii="Arial" w:hAnsi="Arial" w:cs="Arial"/>
                <w:sz w:val="20"/>
                <w:szCs w:val="20"/>
              </w:rPr>
              <w:t>6</w:t>
            </w:r>
            <w:r w:rsidRPr="00C66F03">
              <w:rPr>
                <w:rFonts w:ascii="Arial" w:hAnsi="Arial" w:cs="Arial"/>
                <w:sz w:val="20"/>
                <w:szCs w:val="20"/>
              </w:rPr>
              <w:t>: ≥800 documenti e ≥100 webinar.</w:t>
            </w:r>
          </w:p>
        </w:tc>
      </w:tr>
      <w:tr w:rsidR="00B913E1" w:rsidRPr="00C66F03" w14:paraId="1C5A15A9"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F50D57F" w14:textId="77777777" w:rsidR="00B913E1" w:rsidRPr="00C75AD7" w:rsidRDefault="00B913E1">
            <w:pPr>
              <w:jc w:val="both"/>
              <w:rPr>
                <w:rFonts w:ascii="Arial" w:eastAsiaTheme="minorEastAsia" w:hAnsi="Arial" w:cs="Arial"/>
              </w:rPr>
            </w:pPr>
            <w:r w:rsidRPr="00C66F03">
              <w:rPr>
                <w:rFonts w:ascii="Arial" w:hAnsi="Arial" w:cs="Arial"/>
                <w:sz w:val="20"/>
                <w:szCs w:val="20"/>
              </w:rPr>
              <w:t>R11</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B1B52C9" w14:textId="77777777" w:rsidR="00B913E1" w:rsidRPr="00C75AD7" w:rsidRDefault="00B913E1">
            <w:pPr>
              <w:jc w:val="both"/>
              <w:rPr>
                <w:rFonts w:ascii="Arial" w:hAnsi="Arial" w:cs="Arial"/>
              </w:rPr>
            </w:pPr>
            <w:r w:rsidRPr="00C66F03">
              <w:rPr>
                <w:rFonts w:ascii="Arial" w:hAnsi="Arial" w:cs="Arial"/>
                <w:sz w:val="20"/>
                <w:szCs w:val="20"/>
              </w:rPr>
              <w:t>Metriche di Benchmark Costi e Prezzi</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243C735" w14:textId="77777777" w:rsidR="00B913E1" w:rsidRPr="00C75AD7" w:rsidRDefault="00B913E1">
            <w:pPr>
              <w:numPr>
                <w:ilvl w:val="0"/>
                <w:numId w:val="16"/>
              </w:numPr>
              <w:jc w:val="both"/>
              <w:rPr>
                <w:rFonts w:ascii="Arial" w:hAnsi="Arial" w:cs="Arial"/>
              </w:rPr>
            </w:pPr>
            <w:r w:rsidRPr="00C66F03">
              <w:rPr>
                <w:rFonts w:ascii="Arial" w:hAnsi="Arial" w:cs="Arial"/>
                <w:sz w:val="20"/>
                <w:szCs w:val="20"/>
              </w:rPr>
              <w:t>Metriche/benchmark nazionali e internazionali: costi conduzione servizi IT, budget IT e TCO per linea di servizio, tariffe professionali (≥5 livelli seniority).</w:t>
            </w:r>
          </w:p>
          <w:p w14:paraId="1D3DFC18" w14:textId="59FF7657" w:rsidR="00B913E1" w:rsidRPr="00C75AD7" w:rsidRDefault="00B913E1">
            <w:pPr>
              <w:numPr>
                <w:ilvl w:val="0"/>
                <w:numId w:val="16"/>
              </w:numPr>
              <w:jc w:val="both"/>
              <w:rPr>
                <w:rFonts w:ascii="Arial" w:hAnsi="Arial" w:cs="Arial"/>
              </w:rPr>
            </w:pPr>
            <w:r w:rsidRPr="00C66F03">
              <w:rPr>
                <w:rFonts w:ascii="Arial" w:hAnsi="Arial" w:cs="Arial"/>
                <w:sz w:val="20"/>
                <w:szCs w:val="20"/>
              </w:rPr>
              <w:t xml:space="preserve">Tool aggiornato annualmente con parametrizzazioni; ≥3000 metriche; viste per </w:t>
            </w:r>
            <w:proofErr w:type="spellStart"/>
            <w:r w:rsidRPr="00C75AD7">
              <w:rPr>
                <w:rFonts w:ascii="Arial" w:hAnsi="Arial" w:cs="Arial"/>
                <w:i/>
                <w:iCs/>
                <w:sz w:val="20"/>
                <w:szCs w:val="20"/>
              </w:rPr>
              <w:t>industry</w:t>
            </w:r>
            <w:proofErr w:type="spellEnd"/>
            <w:r w:rsidRPr="00C66F03">
              <w:rPr>
                <w:rFonts w:ascii="Arial" w:hAnsi="Arial" w:cs="Arial"/>
                <w:sz w:val="20"/>
                <w:szCs w:val="20"/>
              </w:rPr>
              <w:t xml:space="preserve"> incl</w:t>
            </w:r>
            <w:r w:rsidR="005271E1" w:rsidRPr="00C66F03">
              <w:rPr>
                <w:rFonts w:ascii="Arial" w:hAnsi="Arial" w:cs="Arial"/>
                <w:sz w:val="20"/>
                <w:szCs w:val="20"/>
              </w:rPr>
              <w:t>usa</w:t>
            </w:r>
            <w:r w:rsidRPr="00C66F03">
              <w:rPr>
                <w:rFonts w:ascii="Arial" w:hAnsi="Arial" w:cs="Arial"/>
                <w:sz w:val="20"/>
                <w:szCs w:val="20"/>
              </w:rPr>
              <w:t xml:space="preserve"> PA.</w:t>
            </w:r>
          </w:p>
          <w:p w14:paraId="6DFCF544" w14:textId="77777777" w:rsidR="00B913E1" w:rsidRPr="00C75AD7" w:rsidRDefault="00B913E1">
            <w:pPr>
              <w:numPr>
                <w:ilvl w:val="0"/>
                <w:numId w:val="16"/>
              </w:numPr>
              <w:jc w:val="both"/>
              <w:rPr>
                <w:rFonts w:ascii="Arial" w:hAnsi="Arial" w:cs="Arial"/>
              </w:rPr>
            </w:pPr>
            <w:r w:rsidRPr="00C66F03">
              <w:rPr>
                <w:rFonts w:ascii="Arial" w:hAnsi="Arial" w:cs="Arial"/>
                <w:sz w:val="20"/>
                <w:szCs w:val="20"/>
              </w:rPr>
              <w:t>Dati basati su interazioni annuali con ≥4000 CIO/IT executives.</w:t>
            </w:r>
          </w:p>
        </w:tc>
      </w:tr>
      <w:tr w:rsidR="00B913E1" w:rsidRPr="00F82995" w14:paraId="1BDBAFCC"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6FDB3DC" w14:textId="77777777" w:rsidR="00B913E1" w:rsidRPr="00C75AD7" w:rsidRDefault="00B913E1">
            <w:pPr>
              <w:jc w:val="both"/>
              <w:rPr>
                <w:rFonts w:ascii="Arial" w:eastAsiaTheme="minorEastAsia" w:hAnsi="Arial" w:cs="Arial"/>
              </w:rPr>
            </w:pPr>
            <w:r w:rsidRPr="00C66F03">
              <w:rPr>
                <w:rFonts w:ascii="Arial" w:hAnsi="Arial" w:cs="Arial"/>
                <w:sz w:val="20"/>
                <w:szCs w:val="20"/>
              </w:rPr>
              <w:t>R12</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DE9D2FF" w14:textId="77777777" w:rsidR="00B913E1" w:rsidRPr="00C75AD7" w:rsidRDefault="00B913E1">
            <w:pPr>
              <w:jc w:val="both"/>
              <w:rPr>
                <w:rFonts w:ascii="Arial" w:hAnsi="Arial" w:cs="Arial"/>
              </w:rPr>
            </w:pPr>
            <w:r w:rsidRPr="00C66F03">
              <w:rPr>
                <w:rFonts w:ascii="Arial" w:hAnsi="Arial" w:cs="Arial"/>
                <w:sz w:val="20"/>
                <w:szCs w:val="20"/>
              </w:rPr>
              <w:t>Dashboard trasformazione digitale (benchmark PA)</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E502C78" w14:textId="77777777" w:rsidR="00B913E1" w:rsidRPr="00C75AD7" w:rsidRDefault="00B913E1">
            <w:pPr>
              <w:numPr>
                <w:ilvl w:val="0"/>
                <w:numId w:val="17"/>
              </w:numPr>
              <w:jc w:val="both"/>
              <w:rPr>
                <w:rFonts w:ascii="Arial" w:hAnsi="Arial" w:cs="Arial"/>
              </w:rPr>
            </w:pPr>
            <w:r w:rsidRPr="00C66F03">
              <w:rPr>
                <w:rFonts w:ascii="Arial" w:hAnsi="Arial" w:cs="Arial"/>
                <w:sz w:val="20"/>
                <w:szCs w:val="20"/>
              </w:rPr>
              <w:t>Self-</w:t>
            </w:r>
            <w:proofErr w:type="spellStart"/>
            <w:r w:rsidRPr="00C66F03">
              <w:rPr>
                <w:rFonts w:ascii="Arial" w:hAnsi="Arial" w:cs="Arial"/>
                <w:sz w:val="20"/>
                <w:szCs w:val="20"/>
              </w:rPr>
              <w:t>assessment</w:t>
            </w:r>
            <w:proofErr w:type="spellEnd"/>
            <w:r w:rsidRPr="00C66F03">
              <w:rPr>
                <w:rFonts w:ascii="Arial" w:hAnsi="Arial" w:cs="Arial"/>
                <w:sz w:val="20"/>
                <w:szCs w:val="20"/>
              </w:rPr>
              <w:t xml:space="preserve"> con benchmark su ≥100 organizzazioni PA; supporto team di contestualizzazione.</w:t>
            </w:r>
          </w:p>
          <w:p w14:paraId="44C6DB66" w14:textId="77777777" w:rsidR="00B913E1" w:rsidRPr="00C75AD7" w:rsidRDefault="00B913E1">
            <w:pPr>
              <w:numPr>
                <w:ilvl w:val="0"/>
                <w:numId w:val="17"/>
              </w:numPr>
              <w:jc w:val="both"/>
              <w:rPr>
                <w:rFonts w:ascii="Arial" w:hAnsi="Arial" w:cs="Arial"/>
                <w:lang w:val="en-US"/>
              </w:rPr>
            </w:pPr>
            <w:r w:rsidRPr="00C75AD7">
              <w:rPr>
                <w:rFonts w:ascii="Arial" w:hAnsi="Arial" w:cs="Arial"/>
                <w:sz w:val="20"/>
                <w:szCs w:val="20"/>
                <w:lang w:val="en-US"/>
              </w:rPr>
              <w:t xml:space="preserve">KPI </w:t>
            </w:r>
            <w:proofErr w:type="spellStart"/>
            <w:r w:rsidRPr="00C75AD7">
              <w:rPr>
                <w:rFonts w:ascii="Arial" w:hAnsi="Arial" w:cs="Arial"/>
                <w:sz w:val="20"/>
                <w:szCs w:val="20"/>
                <w:lang w:val="en-US"/>
              </w:rPr>
              <w:t>su</w:t>
            </w:r>
            <w:proofErr w:type="spellEnd"/>
            <w:r w:rsidRPr="00C75AD7">
              <w:rPr>
                <w:rFonts w:ascii="Arial" w:hAnsi="Arial" w:cs="Arial"/>
                <w:sz w:val="20"/>
                <w:szCs w:val="20"/>
                <w:lang w:val="en-US"/>
              </w:rPr>
              <w:t xml:space="preserve"> Strategic Digital Priorities + Digital Enablers (es. funding, </w:t>
            </w:r>
            <w:proofErr w:type="spellStart"/>
            <w:r w:rsidRPr="00C75AD7">
              <w:rPr>
                <w:rFonts w:ascii="Arial" w:hAnsi="Arial" w:cs="Arial"/>
                <w:sz w:val="20"/>
                <w:szCs w:val="20"/>
                <w:lang w:val="en-US"/>
              </w:rPr>
              <w:t>cultura</w:t>
            </w:r>
            <w:proofErr w:type="spellEnd"/>
            <w:r w:rsidRPr="00C75AD7">
              <w:rPr>
                <w:rFonts w:ascii="Arial" w:hAnsi="Arial" w:cs="Arial"/>
                <w:sz w:val="20"/>
                <w:szCs w:val="20"/>
                <w:lang w:val="en-US"/>
              </w:rPr>
              <w:t>, sourcing, talent/skills, cloud &amp; DevOps, AI &amp; data analytics, customer platform, ecosystem integration, IoT, security) con benchmark ITA/</w:t>
            </w:r>
            <w:proofErr w:type="spellStart"/>
            <w:r w:rsidRPr="00C75AD7">
              <w:rPr>
                <w:rFonts w:ascii="Arial" w:hAnsi="Arial" w:cs="Arial"/>
                <w:sz w:val="20"/>
                <w:szCs w:val="20"/>
                <w:lang w:val="en-US"/>
              </w:rPr>
              <w:t>internazionale</w:t>
            </w:r>
            <w:proofErr w:type="spellEnd"/>
            <w:r w:rsidRPr="00C75AD7">
              <w:rPr>
                <w:rFonts w:ascii="Arial" w:hAnsi="Arial" w:cs="Arial"/>
                <w:sz w:val="20"/>
                <w:szCs w:val="20"/>
                <w:lang w:val="en-US"/>
              </w:rPr>
              <w:t>.</w:t>
            </w:r>
          </w:p>
        </w:tc>
      </w:tr>
      <w:tr w:rsidR="00B913E1" w:rsidRPr="00C66F03" w14:paraId="5E45ABEE"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5F3F37C" w14:textId="77777777" w:rsidR="00B913E1" w:rsidRPr="00C75AD7" w:rsidRDefault="00B913E1">
            <w:pPr>
              <w:jc w:val="both"/>
              <w:rPr>
                <w:rFonts w:ascii="Arial" w:eastAsiaTheme="minorEastAsia" w:hAnsi="Arial" w:cs="Arial"/>
              </w:rPr>
            </w:pPr>
            <w:r w:rsidRPr="00C66F03">
              <w:rPr>
                <w:rFonts w:ascii="Arial" w:hAnsi="Arial" w:cs="Arial"/>
                <w:sz w:val="20"/>
                <w:szCs w:val="20"/>
              </w:rPr>
              <w:lastRenderedPageBreak/>
              <w:t>R13</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AD0B5BD" w14:textId="77777777" w:rsidR="00B913E1" w:rsidRPr="00C75AD7" w:rsidRDefault="00B913E1">
            <w:pPr>
              <w:jc w:val="both"/>
              <w:rPr>
                <w:rFonts w:ascii="Arial" w:hAnsi="Arial" w:cs="Arial"/>
              </w:rPr>
            </w:pPr>
            <w:r w:rsidRPr="00C66F03">
              <w:rPr>
                <w:rFonts w:ascii="Arial" w:hAnsi="Arial" w:cs="Arial"/>
                <w:sz w:val="20"/>
                <w:szCs w:val="20"/>
              </w:rPr>
              <w:t>Piattaforme di Benchmark e Diagnostica</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3D8D766"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Confronto certificato prodotti/fornitori: tool multidimensionale (pesi parametri, social rating, storico posizionamento) + confronto per use case (standard e personalizzabili).</w:t>
            </w:r>
          </w:p>
          <w:p w14:paraId="30CC1F53"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 xml:space="preserve">Workflow valutazione prodotti </w:t>
            </w:r>
            <w:proofErr w:type="spellStart"/>
            <w:r w:rsidRPr="00C66F03">
              <w:rPr>
                <w:rFonts w:ascii="Arial" w:hAnsi="Arial" w:cs="Arial"/>
                <w:sz w:val="20"/>
                <w:szCs w:val="20"/>
              </w:rPr>
              <w:t>pre</w:t>
            </w:r>
            <w:proofErr w:type="spellEnd"/>
            <w:r w:rsidRPr="00C66F03">
              <w:rPr>
                <w:rFonts w:ascii="Arial" w:hAnsi="Arial" w:cs="Arial"/>
                <w:sz w:val="20"/>
                <w:szCs w:val="20"/>
              </w:rPr>
              <w:t xml:space="preserve">-popolato (≥100 mercati): requisiti (standard/custom, import/export, library), collaborazione/delega anche a non-sottoscrittori, invito </w:t>
            </w:r>
            <w:proofErr w:type="spellStart"/>
            <w:r w:rsidRPr="00C66F03">
              <w:rPr>
                <w:rFonts w:ascii="Arial" w:hAnsi="Arial" w:cs="Arial"/>
                <w:sz w:val="20"/>
                <w:szCs w:val="20"/>
              </w:rPr>
              <w:t>vendor</w:t>
            </w:r>
            <w:proofErr w:type="spellEnd"/>
            <w:r w:rsidRPr="00C66F03">
              <w:rPr>
                <w:rFonts w:ascii="Arial" w:hAnsi="Arial" w:cs="Arial"/>
                <w:sz w:val="20"/>
                <w:szCs w:val="20"/>
              </w:rPr>
              <w:t xml:space="preserve"> + questionari/allegati, checklist/date, dashboard valutazioni, ingaggio analisti/esperti.</w:t>
            </w:r>
          </w:p>
          <w:p w14:paraId="21DA80A1"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Use case AI: piattaforma integrata con ricerca (≥500 casi), analisi multiparametrica, filtri, collaborazione/delega, portfolio su fattibilità/benefici.</w:t>
            </w:r>
          </w:p>
          <w:p w14:paraId="56857348" w14:textId="77777777" w:rsidR="00B913E1" w:rsidRPr="00C75AD7" w:rsidRDefault="00B913E1">
            <w:pPr>
              <w:numPr>
                <w:ilvl w:val="0"/>
                <w:numId w:val="18"/>
              </w:numPr>
              <w:jc w:val="both"/>
              <w:rPr>
                <w:rFonts w:ascii="Arial" w:hAnsi="Arial" w:cs="Arial"/>
                <w:lang w:val="en-US"/>
              </w:rPr>
            </w:pPr>
            <w:r w:rsidRPr="00C75AD7">
              <w:rPr>
                <w:rFonts w:ascii="Arial" w:hAnsi="Arial" w:cs="Arial"/>
                <w:sz w:val="20"/>
                <w:szCs w:val="20"/>
                <w:lang w:val="en-US"/>
              </w:rPr>
              <w:t>Benchmark: TCO/</w:t>
            </w:r>
            <w:proofErr w:type="spellStart"/>
            <w:r w:rsidRPr="00C75AD7">
              <w:rPr>
                <w:rFonts w:ascii="Arial" w:hAnsi="Arial" w:cs="Arial"/>
                <w:sz w:val="20"/>
                <w:szCs w:val="20"/>
                <w:lang w:val="en-US"/>
              </w:rPr>
              <w:t>costi</w:t>
            </w:r>
            <w:proofErr w:type="spellEnd"/>
            <w:r w:rsidRPr="00C75AD7">
              <w:rPr>
                <w:rFonts w:ascii="Arial" w:hAnsi="Arial" w:cs="Arial"/>
                <w:sz w:val="20"/>
                <w:szCs w:val="20"/>
                <w:lang w:val="en-US"/>
              </w:rPr>
              <w:t>/</w:t>
            </w:r>
            <w:proofErr w:type="spellStart"/>
            <w:r w:rsidRPr="00C75AD7">
              <w:rPr>
                <w:rFonts w:ascii="Arial" w:hAnsi="Arial" w:cs="Arial"/>
                <w:sz w:val="20"/>
                <w:szCs w:val="20"/>
                <w:lang w:val="en-US"/>
              </w:rPr>
              <w:t>servizio</w:t>
            </w:r>
            <w:proofErr w:type="spellEnd"/>
            <w:r w:rsidRPr="00C75AD7">
              <w:rPr>
                <w:rFonts w:ascii="Arial" w:hAnsi="Arial" w:cs="Arial"/>
                <w:sz w:val="20"/>
                <w:szCs w:val="20"/>
                <w:lang w:val="en-US"/>
              </w:rPr>
              <w:t xml:space="preserve"> (data center, network, EUC, help desk, </w:t>
            </w:r>
            <w:proofErr w:type="spellStart"/>
            <w:r w:rsidRPr="00C75AD7">
              <w:rPr>
                <w:rFonts w:ascii="Arial" w:hAnsi="Arial" w:cs="Arial"/>
                <w:sz w:val="20"/>
                <w:szCs w:val="20"/>
                <w:lang w:val="en-US"/>
              </w:rPr>
              <w:t>ecc</w:t>
            </w:r>
            <w:proofErr w:type="spellEnd"/>
            <w:r w:rsidRPr="00C75AD7">
              <w:rPr>
                <w:rFonts w:ascii="Arial" w:hAnsi="Arial" w:cs="Arial"/>
                <w:sz w:val="20"/>
                <w:szCs w:val="20"/>
                <w:lang w:val="en-US"/>
              </w:rPr>
              <w:t>.); spending &amp; staffing IT security; cybersecurity operational metrics + peer group.</w:t>
            </w:r>
          </w:p>
          <w:p w14:paraId="58A48658"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 xml:space="preserve">Accesso alla ricerca con IA generativa (Q&amp;A in linguaggio naturale, risposte basate su ricerca, riferimenti; tecnico + business; anche su app). </w:t>
            </w:r>
          </w:p>
          <w:p w14:paraId="3AC2BB1B"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Acceleratori iniziative (catalogo per step con tool/template) + tool curve di innovazione (pool &gt;1500 profili; output .ppt).</w:t>
            </w:r>
          </w:p>
          <w:p w14:paraId="5B90CC2E"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 xml:space="preserve">Benchmark spending: comparazioni per </w:t>
            </w:r>
            <w:proofErr w:type="spellStart"/>
            <w:r w:rsidRPr="00C66F03">
              <w:rPr>
                <w:rFonts w:ascii="Arial" w:hAnsi="Arial" w:cs="Arial"/>
                <w:sz w:val="20"/>
                <w:szCs w:val="20"/>
              </w:rPr>
              <w:t>industry</w:t>
            </w:r>
            <w:proofErr w:type="spellEnd"/>
            <w:r w:rsidRPr="00C66F03">
              <w:rPr>
                <w:rFonts w:ascii="Arial" w:hAnsi="Arial" w:cs="Arial"/>
                <w:sz w:val="20"/>
                <w:szCs w:val="20"/>
              </w:rPr>
              <w:t xml:space="preserve">/fatturato/geografie, report .ppt, delega compilazione, editing dinamico, viste percentile (25°/75°) su ≥30 metriche, </w:t>
            </w:r>
            <w:proofErr w:type="spellStart"/>
            <w:r w:rsidRPr="00C66F03">
              <w:rPr>
                <w:rFonts w:ascii="Arial" w:hAnsi="Arial" w:cs="Arial"/>
                <w:sz w:val="20"/>
                <w:szCs w:val="20"/>
              </w:rPr>
              <w:t>datapoint</w:t>
            </w:r>
            <w:proofErr w:type="spellEnd"/>
            <w:r w:rsidRPr="00C66F03">
              <w:rPr>
                <w:rFonts w:ascii="Arial" w:hAnsi="Arial" w:cs="Arial"/>
                <w:sz w:val="20"/>
                <w:szCs w:val="20"/>
              </w:rPr>
              <w:t xml:space="preserve"> certificati PA.</w:t>
            </w:r>
          </w:p>
          <w:p w14:paraId="5CF5E497"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 xml:space="preserve">Third party security insights: valutazione/monitoraggio rischio </w:t>
            </w:r>
            <w:proofErr w:type="spellStart"/>
            <w:r w:rsidRPr="00C66F03">
              <w:rPr>
                <w:rFonts w:ascii="Arial" w:hAnsi="Arial" w:cs="Arial"/>
                <w:sz w:val="20"/>
                <w:szCs w:val="20"/>
              </w:rPr>
              <w:t>vendor</w:t>
            </w:r>
            <w:proofErr w:type="spellEnd"/>
            <w:r w:rsidRPr="00C66F03">
              <w:rPr>
                <w:rFonts w:ascii="Arial" w:hAnsi="Arial" w:cs="Arial"/>
                <w:sz w:val="20"/>
                <w:szCs w:val="20"/>
              </w:rPr>
              <w:t xml:space="preserve">, </w:t>
            </w:r>
            <w:proofErr w:type="spellStart"/>
            <w:r w:rsidRPr="00C66F03">
              <w:rPr>
                <w:rFonts w:ascii="Arial" w:hAnsi="Arial" w:cs="Arial"/>
                <w:sz w:val="20"/>
                <w:szCs w:val="20"/>
              </w:rPr>
              <w:t>incident</w:t>
            </w:r>
            <w:proofErr w:type="spellEnd"/>
            <w:r w:rsidRPr="00C66F03">
              <w:rPr>
                <w:rFonts w:ascii="Arial" w:hAnsi="Arial" w:cs="Arial"/>
                <w:sz w:val="20"/>
                <w:szCs w:val="20"/>
              </w:rPr>
              <w:t xml:space="preserve"> monitoring, piani azione, report, insight e alert.</w:t>
            </w:r>
          </w:p>
          <w:p w14:paraId="604F5390" w14:textId="77777777" w:rsidR="00B913E1" w:rsidRPr="00C75AD7" w:rsidRDefault="00B913E1">
            <w:pPr>
              <w:numPr>
                <w:ilvl w:val="0"/>
                <w:numId w:val="18"/>
              </w:numPr>
              <w:jc w:val="both"/>
              <w:rPr>
                <w:rFonts w:ascii="Arial" w:hAnsi="Arial" w:cs="Arial"/>
              </w:rPr>
            </w:pPr>
            <w:r w:rsidRPr="00C66F03">
              <w:rPr>
                <w:rFonts w:ascii="Arial" w:hAnsi="Arial" w:cs="Arial"/>
                <w:sz w:val="20"/>
                <w:szCs w:val="20"/>
              </w:rPr>
              <w:t xml:space="preserve">Diagnosi/benchmark integrato IT + HR (discipline ICT e HR) + metriche per </w:t>
            </w:r>
            <w:proofErr w:type="spellStart"/>
            <w:r w:rsidRPr="00C66F03">
              <w:rPr>
                <w:rFonts w:ascii="Arial" w:hAnsi="Arial" w:cs="Arial"/>
                <w:sz w:val="20"/>
                <w:szCs w:val="20"/>
              </w:rPr>
              <w:t>industry</w:t>
            </w:r>
            <w:proofErr w:type="spellEnd"/>
            <w:r w:rsidRPr="00C66F03">
              <w:rPr>
                <w:rFonts w:ascii="Arial" w:hAnsi="Arial" w:cs="Arial"/>
                <w:sz w:val="20"/>
                <w:szCs w:val="20"/>
              </w:rPr>
              <w:t xml:space="preserve"> (</w:t>
            </w:r>
            <w:proofErr w:type="spellStart"/>
            <w:r w:rsidRPr="00C66F03">
              <w:rPr>
                <w:rFonts w:ascii="Arial" w:hAnsi="Arial" w:cs="Arial"/>
                <w:sz w:val="20"/>
                <w:szCs w:val="20"/>
              </w:rPr>
              <w:t>incl</w:t>
            </w:r>
            <w:proofErr w:type="spellEnd"/>
            <w:r w:rsidRPr="00C66F03">
              <w:rPr>
                <w:rFonts w:ascii="Arial" w:hAnsi="Arial" w:cs="Arial"/>
                <w:sz w:val="20"/>
                <w:szCs w:val="20"/>
              </w:rPr>
              <w:t xml:space="preserve">. Government) e strumenti diagnostici per </w:t>
            </w:r>
            <w:proofErr w:type="spellStart"/>
            <w:r w:rsidRPr="00C66F03">
              <w:rPr>
                <w:rFonts w:ascii="Arial" w:hAnsi="Arial" w:cs="Arial"/>
                <w:sz w:val="20"/>
                <w:szCs w:val="20"/>
              </w:rPr>
              <w:t>maturity</w:t>
            </w:r>
            <w:proofErr w:type="spellEnd"/>
            <w:r w:rsidRPr="00C66F03">
              <w:rPr>
                <w:rFonts w:ascii="Arial" w:hAnsi="Arial" w:cs="Arial"/>
                <w:sz w:val="20"/>
                <w:szCs w:val="20"/>
              </w:rPr>
              <w:t xml:space="preserve"> e pianificazione azioni su trasformazione digitale HR.</w:t>
            </w:r>
          </w:p>
        </w:tc>
      </w:tr>
      <w:tr w:rsidR="00B913E1" w:rsidRPr="00C66F03" w14:paraId="7E4121AA"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1E1A387" w14:textId="77777777" w:rsidR="00B913E1" w:rsidRPr="00C75AD7" w:rsidRDefault="00B913E1">
            <w:pPr>
              <w:jc w:val="both"/>
              <w:rPr>
                <w:rFonts w:ascii="Arial" w:eastAsiaTheme="minorEastAsia" w:hAnsi="Arial" w:cs="Arial"/>
              </w:rPr>
            </w:pPr>
            <w:r w:rsidRPr="00C66F03">
              <w:rPr>
                <w:rFonts w:ascii="Arial" w:hAnsi="Arial" w:cs="Arial"/>
                <w:sz w:val="20"/>
                <w:szCs w:val="20"/>
              </w:rPr>
              <w:t>R14</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84B3242" w14:textId="77777777" w:rsidR="00B913E1" w:rsidRPr="00C75AD7" w:rsidRDefault="00B913E1">
            <w:pPr>
              <w:jc w:val="both"/>
              <w:rPr>
                <w:rFonts w:ascii="Arial" w:hAnsi="Arial" w:cs="Arial"/>
              </w:rPr>
            </w:pPr>
            <w:r w:rsidRPr="00C66F03">
              <w:rPr>
                <w:rFonts w:ascii="Arial" w:hAnsi="Arial" w:cs="Arial"/>
                <w:sz w:val="20"/>
                <w:szCs w:val="20"/>
              </w:rPr>
              <w:t>Base installata</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7D3DB01" w14:textId="77777777" w:rsidR="00B913E1" w:rsidRPr="00C75AD7" w:rsidRDefault="00B913E1">
            <w:pPr>
              <w:numPr>
                <w:ilvl w:val="0"/>
                <w:numId w:val="19"/>
              </w:numPr>
              <w:jc w:val="both"/>
              <w:rPr>
                <w:rFonts w:ascii="Arial" w:hAnsi="Arial" w:cs="Arial"/>
              </w:rPr>
            </w:pPr>
            <w:r w:rsidRPr="00C66F03">
              <w:rPr>
                <w:rFonts w:ascii="Arial" w:hAnsi="Arial" w:cs="Arial"/>
                <w:sz w:val="20"/>
                <w:szCs w:val="20"/>
              </w:rPr>
              <w:t>Servizi analoghi già erogati; base clienti attivi ampia e rappresentativa della PA italiana.</w:t>
            </w:r>
          </w:p>
          <w:p w14:paraId="558584B6" w14:textId="77777777" w:rsidR="00B913E1" w:rsidRPr="00C75AD7" w:rsidRDefault="00B913E1">
            <w:pPr>
              <w:numPr>
                <w:ilvl w:val="0"/>
                <w:numId w:val="19"/>
              </w:numPr>
              <w:jc w:val="both"/>
              <w:rPr>
                <w:rFonts w:ascii="Arial" w:hAnsi="Arial" w:cs="Arial"/>
              </w:rPr>
            </w:pPr>
            <w:r w:rsidRPr="00C66F03">
              <w:rPr>
                <w:rFonts w:ascii="Arial" w:hAnsi="Arial" w:cs="Arial"/>
                <w:sz w:val="20"/>
                <w:szCs w:val="20"/>
              </w:rPr>
              <w:t>Presenza di sedi operative (non solo commerciali) in Italia, per continuità di rapporti diretti.</w:t>
            </w:r>
          </w:p>
        </w:tc>
      </w:tr>
      <w:tr w:rsidR="00B913E1" w:rsidRPr="00C66F03" w14:paraId="31637D4E" w14:textId="77777777">
        <w:trPr>
          <w:tblCellSpacing w:w="15" w:type="dxa"/>
        </w:trPr>
        <w:tc>
          <w:tcPr>
            <w:tcW w:w="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3B57803" w14:textId="77777777" w:rsidR="00B913E1" w:rsidRPr="00C75AD7" w:rsidRDefault="00B913E1">
            <w:pPr>
              <w:jc w:val="both"/>
              <w:rPr>
                <w:rFonts w:ascii="Arial" w:eastAsiaTheme="minorEastAsia" w:hAnsi="Arial" w:cs="Arial"/>
              </w:rPr>
            </w:pPr>
            <w:r w:rsidRPr="00C66F03">
              <w:rPr>
                <w:rFonts w:ascii="Arial" w:hAnsi="Arial" w:cs="Arial"/>
                <w:sz w:val="20"/>
                <w:szCs w:val="20"/>
              </w:rPr>
              <w:t>R15</w:t>
            </w:r>
          </w:p>
        </w:tc>
        <w:tc>
          <w:tcPr>
            <w:tcW w:w="15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3C9CB4F" w14:textId="77777777" w:rsidR="00B913E1" w:rsidRPr="00C75AD7" w:rsidRDefault="00B913E1">
            <w:pPr>
              <w:jc w:val="both"/>
              <w:rPr>
                <w:rFonts w:ascii="Arial" w:hAnsi="Arial" w:cs="Arial"/>
              </w:rPr>
            </w:pPr>
            <w:r w:rsidRPr="00C66F03">
              <w:rPr>
                <w:rFonts w:ascii="Arial" w:hAnsi="Arial" w:cs="Arial"/>
                <w:sz w:val="20"/>
                <w:szCs w:val="20"/>
              </w:rPr>
              <w:t>Conferenze</w:t>
            </w:r>
          </w:p>
        </w:tc>
        <w:tc>
          <w:tcPr>
            <w:tcW w:w="3000" w:type="pct"/>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F893C5C" w14:textId="77777777" w:rsidR="00B913E1" w:rsidRPr="00C75AD7" w:rsidRDefault="00B913E1">
            <w:pPr>
              <w:numPr>
                <w:ilvl w:val="0"/>
                <w:numId w:val="20"/>
              </w:numPr>
              <w:jc w:val="both"/>
              <w:rPr>
                <w:rFonts w:ascii="Arial" w:hAnsi="Arial" w:cs="Arial"/>
              </w:rPr>
            </w:pPr>
            <w:r w:rsidRPr="00C66F03">
              <w:rPr>
                <w:rFonts w:ascii="Arial" w:hAnsi="Arial" w:cs="Arial"/>
                <w:b/>
                <w:bCs/>
                <w:sz w:val="20"/>
                <w:szCs w:val="20"/>
              </w:rPr>
              <w:t>A (ICT Strategica – per utente)</w:t>
            </w:r>
            <w:r w:rsidRPr="00C66F03">
              <w:rPr>
                <w:rFonts w:ascii="Arial" w:hAnsi="Arial" w:cs="Arial"/>
                <w:sz w:val="20"/>
                <w:szCs w:val="20"/>
              </w:rPr>
              <w:t>: 2 eventi inclusi/anno: (i) evento CIO/IT Executive UE (≥4 giorni); (ii) evento CIO UE (≥2 giorni).</w:t>
            </w:r>
          </w:p>
          <w:p w14:paraId="7EDD8B21" w14:textId="77777777" w:rsidR="00B913E1" w:rsidRPr="00C75AD7" w:rsidRDefault="00B913E1">
            <w:pPr>
              <w:numPr>
                <w:ilvl w:val="0"/>
                <w:numId w:val="20"/>
              </w:numPr>
              <w:jc w:val="both"/>
              <w:rPr>
                <w:rFonts w:ascii="Arial" w:hAnsi="Arial" w:cs="Arial"/>
              </w:rPr>
            </w:pPr>
            <w:r w:rsidRPr="00C66F03">
              <w:rPr>
                <w:rFonts w:ascii="Arial" w:hAnsi="Arial" w:cs="Arial"/>
                <w:b/>
                <w:bCs/>
                <w:sz w:val="20"/>
                <w:szCs w:val="20"/>
              </w:rPr>
              <w:t>B (Finance – per utente)</w:t>
            </w:r>
            <w:r w:rsidRPr="00C66F03">
              <w:rPr>
                <w:rFonts w:ascii="Arial" w:hAnsi="Arial" w:cs="Arial"/>
                <w:sz w:val="20"/>
                <w:szCs w:val="20"/>
              </w:rPr>
              <w:t>: 1 evento internazionale/anno, focus Finance, durata ≥2 giorni.</w:t>
            </w:r>
          </w:p>
          <w:p w14:paraId="142F7EFB" w14:textId="77777777" w:rsidR="00B913E1" w:rsidRPr="00C75AD7" w:rsidRDefault="00B913E1">
            <w:pPr>
              <w:numPr>
                <w:ilvl w:val="0"/>
                <w:numId w:val="20"/>
              </w:numPr>
              <w:jc w:val="both"/>
              <w:rPr>
                <w:rFonts w:ascii="Arial" w:hAnsi="Arial" w:cs="Arial"/>
              </w:rPr>
            </w:pPr>
            <w:r w:rsidRPr="00C66F03">
              <w:rPr>
                <w:rFonts w:ascii="Arial" w:hAnsi="Arial" w:cs="Arial"/>
                <w:b/>
                <w:bCs/>
                <w:sz w:val="20"/>
                <w:szCs w:val="20"/>
              </w:rPr>
              <w:t>C (ICT Tecnica – per bundle)</w:t>
            </w:r>
            <w:r w:rsidRPr="00C66F03">
              <w:rPr>
                <w:rFonts w:ascii="Arial" w:hAnsi="Arial" w:cs="Arial"/>
                <w:sz w:val="20"/>
                <w:szCs w:val="20"/>
              </w:rPr>
              <w:t>: 1 evento internazionale/anno, durata ≥2 giorni.</w:t>
            </w:r>
          </w:p>
          <w:p w14:paraId="7D271EC0" w14:textId="77777777" w:rsidR="00B913E1" w:rsidRPr="00C75AD7" w:rsidRDefault="00B913E1">
            <w:pPr>
              <w:numPr>
                <w:ilvl w:val="0"/>
                <w:numId w:val="20"/>
              </w:numPr>
              <w:jc w:val="both"/>
              <w:rPr>
                <w:rFonts w:ascii="Arial" w:hAnsi="Arial" w:cs="Arial"/>
                <w:lang w:val="en-US"/>
              </w:rPr>
            </w:pPr>
            <w:r w:rsidRPr="00C75AD7">
              <w:rPr>
                <w:rFonts w:ascii="Arial" w:hAnsi="Arial" w:cs="Arial"/>
                <w:b/>
                <w:bCs/>
                <w:sz w:val="20"/>
                <w:szCs w:val="20"/>
                <w:lang w:val="en-US"/>
              </w:rPr>
              <w:lastRenderedPageBreak/>
              <w:t>D (</w:t>
            </w:r>
            <w:proofErr w:type="spellStart"/>
            <w:r w:rsidRPr="00C75AD7">
              <w:rPr>
                <w:rFonts w:ascii="Arial" w:hAnsi="Arial" w:cs="Arial"/>
                <w:b/>
                <w:bCs/>
                <w:sz w:val="20"/>
                <w:szCs w:val="20"/>
                <w:lang w:val="en-US"/>
              </w:rPr>
              <w:t>scelta</w:t>
            </w:r>
            <w:proofErr w:type="spellEnd"/>
            <w:r w:rsidRPr="00C75AD7">
              <w:rPr>
                <w:rFonts w:ascii="Arial" w:hAnsi="Arial" w:cs="Arial"/>
                <w:b/>
                <w:bCs/>
                <w:sz w:val="20"/>
                <w:szCs w:val="20"/>
                <w:lang w:val="en-US"/>
              </w:rPr>
              <w:t xml:space="preserve"> </w:t>
            </w:r>
            <w:proofErr w:type="spellStart"/>
            <w:r w:rsidRPr="00C75AD7">
              <w:rPr>
                <w:rFonts w:ascii="Arial" w:hAnsi="Arial" w:cs="Arial"/>
                <w:b/>
                <w:bCs/>
                <w:sz w:val="20"/>
                <w:szCs w:val="20"/>
                <w:lang w:val="en-US"/>
              </w:rPr>
              <w:t>conferenza</w:t>
            </w:r>
            <w:proofErr w:type="spellEnd"/>
            <w:r w:rsidRPr="00C75AD7">
              <w:rPr>
                <w:rFonts w:ascii="Arial" w:hAnsi="Arial" w:cs="Arial"/>
                <w:b/>
                <w:bCs/>
                <w:sz w:val="20"/>
                <w:szCs w:val="20"/>
                <w:lang w:val="en-US"/>
              </w:rPr>
              <w:t xml:space="preserve"> UE)</w:t>
            </w:r>
            <w:r w:rsidRPr="00C75AD7">
              <w:rPr>
                <w:rFonts w:ascii="Arial" w:hAnsi="Arial" w:cs="Arial"/>
                <w:sz w:val="20"/>
                <w:szCs w:val="20"/>
                <w:lang w:val="en-US"/>
              </w:rPr>
              <w:t>: Application Innovation &amp; Business Solutions; IAM; Data/Analytics/AI; Digital Workplace; Security &amp; Risk; IT Infrastructure/Operations/Cloud.</w:t>
            </w:r>
          </w:p>
          <w:p w14:paraId="60D39519" w14:textId="77777777" w:rsidR="00B913E1" w:rsidRPr="00C75AD7" w:rsidRDefault="00B913E1">
            <w:pPr>
              <w:numPr>
                <w:ilvl w:val="0"/>
                <w:numId w:val="20"/>
              </w:numPr>
              <w:jc w:val="both"/>
              <w:rPr>
                <w:rFonts w:ascii="Arial" w:hAnsi="Arial" w:cs="Arial"/>
              </w:rPr>
            </w:pPr>
            <w:r w:rsidRPr="00C66F03">
              <w:rPr>
                <w:rFonts w:ascii="Arial" w:hAnsi="Arial" w:cs="Arial"/>
                <w:b/>
                <w:bCs/>
                <w:sz w:val="20"/>
                <w:szCs w:val="20"/>
              </w:rPr>
              <w:t>E</w:t>
            </w:r>
            <w:r w:rsidRPr="00C66F03">
              <w:rPr>
                <w:rFonts w:ascii="Arial" w:hAnsi="Arial" w:cs="Arial"/>
                <w:sz w:val="20"/>
                <w:szCs w:val="20"/>
              </w:rPr>
              <w:t>: possibilità acquisto biglietti aggiuntivi.</w:t>
            </w:r>
          </w:p>
          <w:p w14:paraId="300BC8E8" w14:textId="77777777" w:rsidR="00B913E1" w:rsidRPr="00C75AD7" w:rsidRDefault="00B913E1">
            <w:pPr>
              <w:numPr>
                <w:ilvl w:val="0"/>
                <w:numId w:val="20"/>
              </w:numPr>
              <w:jc w:val="both"/>
              <w:rPr>
                <w:rFonts w:ascii="Arial" w:hAnsi="Arial" w:cs="Arial"/>
              </w:rPr>
            </w:pPr>
            <w:r w:rsidRPr="00C66F03">
              <w:rPr>
                <w:rFonts w:ascii="Arial" w:hAnsi="Arial" w:cs="Arial"/>
                <w:b/>
                <w:bCs/>
                <w:sz w:val="20"/>
                <w:szCs w:val="20"/>
              </w:rPr>
              <w:t>F</w:t>
            </w:r>
            <w:r w:rsidRPr="00C66F03">
              <w:rPr>
                <w:rFonts w:ascii="Arial" w:hAnsi="Arial" w:cs="Arial"/>
                <w:sz w:val="20"/>
                <w:szCs w:val="20"/>
              </w:rPr>
              <w:t xml:space="preserve">: app nativa unica (smartphone/tablet) con login banca dati, agenda, streaming e replay; prenotazione 1:1 con analisti (≥30’); possibilità di schedulare </w:t>
            </w:r>
            <w:proofErr w:type="spellStart"/>
            <w:r w:rsidRPr="00C66F03">
              <w:rPr>
                <w:rFonts w:ascii="Arial" w:hAnsi="Arial" w:cs="Arial"/>
                <w:sz w:val="20"/>
                <w:szCs w:val="20"/>
              </w:rPr>
              <w:t>inquiry</w:t>
            </w:r>
            <w:proofErr w:type="spellEnd"/>
            <w:r w:rsidRPr="00C66F03">
              <w:rPr>
                <w:rFonts w:ascii="Arial" w:hAnsi="Arial" w:cs="Arial"/>
                <w:sz w:val="20"/>
                <w:szCs w:val="20"/>
              </w:rPr>
              <w:t xml:space="preserve"> post-evento via portale/app.</w:t>
            </w:r>
          </w:p>
          <w:p w14:paraId="4F274A8A" w14:textId="77777777" w:rsidR="00B913E1" w:rsidRPr="00C75AD7" w:rsidRDefault="00B913E1">
            <w:pPr>
              <w:numPr>
                <w:ilvl w:val="0"/>
                <w:numId w:val="20"/>
              </w:numPr>
              <w:jc w:val="both"/>
              <w:rPr>
                <w:rFonts w:ascii="Arial" w:hAnsi="Arial" w:cs="Arial"/>
              </w:rPr>
            </w:pPr>
            <w:r w:rsidRPr="00C66F03">
              <w:rPr>
                <w:rFonts w:ascii="Arial" w:hAnsi="Arial" w:cs="Arial"/>
                <w:b/>
                <w:bCs/>
                <w:sz w:val="20"/>
                <w:szCs w:val="20"/>
              </w:rPr>
              <w:t>G</w:t>
            </w:r>
            <w:r w:rsidRPr="00C66F03">
              <w:rPr>
                <w:rFonts w:ascii="Arial" w:hAnsi="Arial" w:cs="Arial"/>
                <w:sz w:val="20"/>
                <w:szCs w:val="20"/>
              </w:rPr>
              <w:t>: stesse risorse disponibili anche su piattaforma web.</w:t>
            </w:r>
          </w:p>
        </w:tc>
      </w:tr>
    </w:tbl>
    <w:p w14:paraId="1B96807B" w14:textId="0272D541" w:rsidR="00641F6F" w:rsidRPr="00BD2EB1" w:rsidRDefault="00BD2EB1">
      <w:pPr>
        <w:spacing w:before="120" w:line="276" w:lineRule="auto"/>
        <w:jc w:val="both"/>
        <w:rPr>
          <w:rFonts w:ascii="Arial" w:hAnsi="Arial" w:cs="Arial"/>
          <w:sz w:val="20"/>
          <w:szCs w:val="20"/>
        </w:rPr>
      </w:pPr>
      <w:r>
        <w:rPr>
          <w:rFonts w:ascii="Arial" w:hAnsi="Arial" w:cs="Arial"/>
          <w:sz w:val="20"/>
          <w:szCs w:val="20"/>
        </w:rPr>
        <w:lastRenderedPageBreak/>
        <w:t>I</w:t>
      </w:r>
      <w:r w:rsidR="00820975" w:rsidRPr="00BD2EB1">
        <w:rPr>
          <w:rFonts w:ascii="Arial" w:hAnsi="Arial" w:cs="Arial"/>
          <w:sz w:val="20"/>
          <w:szCs w:val="20"/>
        </w:rPr>
        <w:t xml:space="preserve"> requisiti così declinati risultano essere soddisfatti unicamente da Gartner Group. </w:t>
      </w:r>
      <w:r w:rsidR="00EE448E" w:rsidRPr="00BD2EB1">
        <w:rPr>
          <w:rFonts w:ascii="Arial" w:hAnsi="Arial" w:cs="Arial"/>
          <w:sz w:val="20"/>
          <w:szCs w:val="20"/>
        </w:rPr>
        <w:t xml:space="preserve">Inoltre, la maggior parte dei servizi e dei prodotti Gartner è coperta da diritti di proprietà intellettuale </w:t>
      </w:r>
      <w:r w:rsidR="00820975" w:rsidRPr="00BD2EB1">
        <w:rPr>
          <w:rFonts w:ascii="Arial" w:hAnsi="Arial" w:cs="Arial"/>
          <w:sz w:val="20"/>
          <w:szCs w:val="20"/>
        </w:rPr>
        <w:t>e pertanto non possono essere elaborati o distribuiti da terze parti senza adeguate autorizzazioni da parte di Gartner.</w:t>
      </w:r>
    </w:p>
    <w:p w14:paraId="42472017" w14:textId="334BB732" w:rsidR="000B1A8F" w:rsidRPr="00BD2EB1" w:rsidRDefault="000B1A8F" w:rsidP="000B1A8F">
      <w:pPr>
        <w:pStyle w:val="NormaleWeb"/>
        <w:spacing w:before="120" w:beforeAutospacing="0" w:after="120" w:afterAutospacing="0" w:line="276" w:lineRule="auto"/>
        <w:jc w:val="both"/>
        <w:rPr>
          <w:rFonts w:ascii="Arial" w:hAnsi="Arial" w:cs="Arial"/>
          <w:sz w:val="20"/>
          <w:szCs w:val="20"/>
        </w:rPr>
      </w:pPr>
      <w:r w:rsidRPr="00BD2EB1">
        <w:rPr>
          <w:rFonts w:ascii="Arial" w:hAnsi="Arial" w:cs="Arial"/>
          <w:sz w:val="20"/>
          <w:szCs w:val="20"/>
        </w:rPr>
        <w:t xml:space="preserve">L’attuale </w:t>
      </w:r>
      <w:r w:rsidR="00EB5A87" w:rsidRPr="00BD2EB1">
        <w:rPr>
          <w:rFonts w:ascii="Arial" w:hAnsi="Arial" w:cs="Arial"/>
          <w:sz w:val="20"/>
          <w:szCs w:val="20"/>
        </w:rPr>
        <w:t>dimensionamento</w:t>
      </w:r>
      <w:r w:rsidRPr="00BD2EB1">
        <w:rPr>
          <w:rFonts w:ascii="Arial" w:hAnsi="Arial" w:cs="Arial"/>
          <w:sz w:val="20"/>
          <w:szCs w:val="20"/>
        </w:rPr>
        <w:t xml:space="preserve"> di banche dati, prodotti e servizi Gartner, </w:t>
      </w:r>
      <w:r w:rsidR="00EB5A87" w:rsidRPr="00BD2EB1">
        <w:rPr>
          <w:rFonts w:ascii="Arial" w:hAnsi="Arial" w:cs="Arial"/>
          <w:sz w:val="20"/>
          <w:szCs w:val="20"/>
        </w:rPr>
        <w:t xml:space="preserve">usufruiti </w:t>
      </w:r>
      <w:r w:rsidRPr="00BD2EB1">
        <w:rPr>
          <w:rFonts w:ascii="Arial" w:hAnsi="Arial" w:cs="Arial"/>
          <w:sz w:val="20"/>
          <w:szCs w:val="20"/>
        </w:rPr>
        <w:t xml:space="preserve">nel corso del contratto attuale e </w:t>
      </w:r>
      <w:r w:rsidR="00EB5A87" w:rsidRPr="00BD2EB1">
        <w:rPr>
          <w:rFonts w:ascii="Arial" w:hAnsi="Arial" w:cs="Arial"/>
          <w:sz w:val="20"/>
          <w:szCs w:val="20"/>
        </w:rPr>
        <w:t>quello per l’approvvigionamento d</w:t>
      </w:r>
      <w:r w:rsidRPr="00BD2EB1">
        <w:rPr>
          <w:rFonts w:ascii="Arial" w:hAnsi="Arial" w:cs="Arial"/>
          <w:sz w:val="20"/>
          <w:szCs w:val="20"/>
        </w:rPr>
        <w:t>el prossimo, è così riassumibile: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3926"/>
        <w:gridCol w:w="1477"/>
        <w:gridCol w:w="1476"/>
      </w:tblGrid>
      <w:tr w:rsidR="00EB5A87" w:rsidRPr="00C66F03" w14:paraId="28F908CE"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shd w:val="clear" w:color="auto" w:fill="F2F2F2"/>
            <w:tcMar>
              <w:top w:w="0" w:type="dxa"/>
              <w:left w:w="108" w:type="dxa"/>
              <w:bottom w:w="0" w:type="dxa"/>
              <w:right w:w="108" w:type="dxa"/>
            </w:tcMar>
            <w:vAlign w:val="center"/>
            <w:hideMark/>
          </w:tcPr>
          <w:p w14:paraId="570E168D" w14:textId="77777777" w:rsidR="00EB5A87" w:rsidRPr="00C75AD7" w:rsidRDefault="00EB5A87" w:rsidP="00226CF1">
            <w:pPr>
              <w:jc w:val="both"/>
              <w:rPr>
                <w:rFonts w:ascii="Arial" w:hAnsi="Arial" w:cs="Arial"/>
              </w:rPr>
            </w:pPr>
            <w:r w:rsidRPr="00C66F03">
              <w:rPr>
                <w:rFonts w:ascii="Arial" w:hAnsi="Arial" w:cs="Arial"/>
                <w:b/>
                <w:bCs/>
                <w:sz w:val="20"/>
                <w:szCs w:val="20"/>
              </w:rPr>
              <w:t>Ambito Ricerca</w:t>
            </w:r>
          </w:p>
        </w:tc>
        <w:tc>
          <w:tcPr>
            <w:tcW w:w="0" w:type="auto"/>
            <w:tcBorders>
              <w:top w:val="single" w:sz="8" w:space="0" w:color="1F497D"/>
              <w:left w:val="single" w:sz="8" w:space="0" w:color="1F497D"/>
              <w:bottom w:val="single" w:sz="8" w:space="0" w:color="1F497D"/>
              <w:right w:val="single" w:sz="8" w:space="0" w:color="1F497D"/>
            </w:tcBorders>
            <w:shd w:val="clear" w:color="auto" w:fill="F2F2F2"/>
            <w:tcMar>
              <w:top w:w="0" w:type="dxa"/>
              <w:left w:w="108" w:type="dxa"/>
              <w:bottom w:w="0" w:type="dxa"/>
              <w:right w:w="108" w:type="dxa"/>
            </w:tcMar>
            <w:vAlign w:val="center"/>
            <w:hideMark/>
          </w:tcPr>
          <w:p w14:paraId="52841695" w14:textId="77777777" w:rsidR="00EB5A87" w:rsidRPr="00C75AD7" w:rsidRDefault="00EB5A87" w:rsidP="00226CF1">
            <w:pPr>
              <w:jc w:val="both"/>
              <w:rPr>
                <w:rFonts w:ascii="Arial" w:hAnsi="Arial" w:cs="Arial"/>
              </w:rPr>
            </w:pPr>
            <w:r w:rsidRPr="00C66F03">
              <w:rPr>
                <w:rFonts w:ascii="Arial" w:hAnsi="Arial" w:cs="Arial"/>
                <w:b/>
                <w:bCs/>
                <w:sz w:val="20"/>
                <w:szCs w:val="20"/>
              </w:rPr>
              <w:t>Licenza Gartner</w:t>
            </w:r>
          </w:p>
        </w:tc>
        <w:tc>
          <w:tcPr>
            <w:tcW w:w="0" w:type="auto"/>
            <w:tcBorders>
              <w:top w:val="single" w:sz="8" w:space="0" w:color="1F497D"/>
              <w:left w:val="single" w:sz="8" w:space="0" w:color="1F497D"/>
              <w:bottom w:val="single" w:sz="8" w:space="0" w:color="1F497D"/>
              <w:right w:val="single" w:sz="8" w:space="0" w:color="1F497D"/>
            </w:tcBorders>
            <w:shd w:val="clear" w:color="auto" w:fill="F2F2F2"/>
            <w:tcMar>
              <w:top w:w="0" w:type="dxa"/>
              <w:left w:w="108" w:type="dxa"/>
              <w:bottom w:w="0" w:type="dxa"/>
              <w:right w:w="108" w:type="dxa"/>
            </w:tcMar>
            <w:vAlign w:val="center"/>
            <w:hideMark/>
          </w:tcPr>
          <w:p w14:paraId="30633988" w14:textId="44B3A7A7" w:rsidR="00EB5A87" w:rsidRPr="00C75AD7" w:rsidRDefault="00EB5A87" w:rsidP="00226CF1">
            <w:pPr>
              <w:jc w:val="center"/>
              <w:rPr>
                <w:rFonts w:ascii="Arial" w:hAnsi="Arial" w:cs="Arial"/>
              </w:rPr>
            </w:pPr>
            <w:r w:rsidRPr="00C66F03">
              <w:rPr>
                <w:rFonts w:ascii="Arial" w:hAnsi="Arial" w:cs="Arial"/>
                <w:b/>
                <w:bCs/>
                <w:sz w:val="20"/>
                <w:szCs w:val="20"/>
              </w:rPr>
              <w:t>Licenze attuali</w:t>
            </w:r>
          </w:p>
        </w:tc>
        <w:tc>
          <w:tcPr>
            <w:tcW w:w="0" w:type="auto"/>
            <w:tcBorders>
              <w:top w:val="single" w:sz="8" w:space="0" w:color="1F497D"/>
              <w:left w:val="single" w:sz="8" w:space="0" w:color="1F497D"/>
              <w:bottom w:val="single" w:sz="8" w:space="0" w:color="1F497D"/>
              <w:right w:val="single" w:sz="8" w:space="0" w:color="1F497D"/>
            </w:tcBorders>
            <w:shd w:val="clear" w:color="auto" w:fill="F2F2F2"/>
            <w:tcMar>
              <w:top w:w="0" w:type="dxa"/>
              <w:left w:w="108" w:type="dxa"/>
              <w:bottom w:w="0" w:type="dxa"/>
              <w:right w:w="108" w:type="dxa"/>
            </w:tcMar>
            <w:vAlign w:val="center"/>
            <w:hideMark/>
          </w:tcPr>
          <w:p w14:paraId="69A2E35B" w14:textId="1AC8D12C" w:rsidR="00EB5A87" w:rsidRPr="00C75AD7" w:rsidRDefault="00EB5A87" w:rsidP="00226CF1">
            <w:pPr>
              <w:jc w:val="center"/>
              <w:rPr>
                <w:rFonts w:ascii="Arial" w:hAnsi="Arial" w:cs="Arial"/>
              </w:rPr>
            </w:pPr>
            <w:r w:rsidRPr="00C66F03">
              <w:rPr>
                <w:rFonts w:ascii="Arial" w:hAnsi="Arial" w:cs="Arial"/>
                <w:b/>
                <w:bCs/>
                <w:sz w:val="20"/>
                <w:szCs w:val="20"/>
              </w:rPr>
              <w:t>Licenze future</w:t>
            </w:r>
          </w:p>
        </w:tc>
      </w:tr>
      <w:tr w:rsidR="00EB5A87" w:rsidRPr="00C66F03" w14:paraId="32BC73B4"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4D38C24" w14:textId="77777777" w:rsidR="00EB5A87" w:rsidRPr="00C75AD7" w:rsidRDefault="00EB5A87" w:rsidP="00226CF1">
            <w:pPr>
              <w:jc w:val="both"/>
              <w:rPr>
                <w:rFonts w:ascii="Arial" w:hAnsi="Arial" w:cs="Arial"/>
              </w:rPr>
            </w:pPr>
            <w:r w:rsidRPr="00C66F03">
              <w:rPr>
                <w:rFonts w:ascii="Arial" w:hAnsi="Arial" w:cs="Arial"/>
                <w:sz w:val="20"/>
                <w:szCs w:val="20"/>
              </w:rPr>
              <w:t>ICT Strategica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2B441F4" w14:textId="77777777" w:rsidR="00EB5A87" w:rsidRPr="00C75AD7" w:rsidRDefault="00EB5A87" w:rsidP="00226CF1">
            <w:pPr>
              <w:jc w:val="both"/>
              <w:rPr>
                <w:rFonts w:ascii="Arial" w:hAnsi="Arial" w:cs="Arial"/>
              </w:rPr>
            </w:pPr>
            <w:r w:rsidRPr="00C66F03">
              <w:rPr>
                <w:rFonts w:ascii="Arial" w:hAnsi="Arial" w:cs="Arial"/>
                <w:sz w:val="20"/>
                <w:szCs w:val="20"/>
              </w:rPr>
              <w:t>IT Executives CIO Signature</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85317AB" w14:textId="77777777" w:rsidR="00EB5A87" w:rsidRPr="00C75AD7" w:rsidRDefault="00EB5A87" w:rsidP="00226CF1">
            <w:pPr>
              <w:jc w:val="center"/>
              <w:rPr>
                <w:rFonts w:ascii="Arial" w:hAnsi="Arial" w:cs="Arial"/>
              </w:rPr>
            </w:pPr>
            <w:r w:rsidRPr="00C66F03">
              <w:rPr>
                <w:rFonts w:ascii="Arial" w:hAnsi="Arial" w:cs="Arial"/>
                <w:sz w:val="20"/>
                <w:szCs w:val="20"/>
              </w:rPr>
              <w:t>8</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6BFAF7E" w14:textId="77777777" w:rsidR="00EB5A87" w:rsidRPr="00C75AD7" w:rsidRDefault="00EB5A87" w:rsidP="00226CF1">
            <w:pPr>
              <w:jc w:val="center"/>
              <w:rPr>
                <w:rFonts w:ascii="Arial" w:hAnsi="Arial" w:cs="Arial"/>
              </w:rPr>
            </w:pPr>
            <w:r w:rsidRPr="00C66F03">
              <w:rPr>
                <w:rFonts w:ascii="Arial" w:hAnsi="Arial" w:cs="Arial"/>
                <w:sz w:val="20"/>
                <w:szCs w:val="20"/>
              </w:rPr>
              <w:t>8</w:t>
            </w:r>
          </w:p>
        </w:tc>
      </w:tr>
      <w:tr w:rsidR="00EB5A87" w:rsidRPr="00C66F03" w14:paraId="79918E12"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2AF8ED8" w14:textId="77777777" w:rsidR="00EB5A87" w:rsidRPr="00C75AD7" w:rsidRDefault="00EB5A87" w:rsidP="00226CF1">
            <w:pPr>
              <w:jc w:val="both"/>
              <w:rPr>
                <w:rFonts w:ascii="Arial" w:hAnsi="Arial" w:cs="Arial"/>
              </w:rPr>
            </w:pPr>
            <w:r w:rsidRPr="00C66F03">
              <w:rPr>
                <w:rFonts w:ascii="Arial" w:hAnsi="Arial" w:cs="Arial"/>
                <w:sz w:val="20"/>
                <w:szCs w:val="20"/>
              </w:rPr>
              <w:t>ICT Strategica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407AEC4" w14:textId="77777777" w:rsidR="00EB5A87" w:rsidRPr="00C75AD7" w:rsidRDefault="00EB5A87" w:rsidP="00226CF1">
            <w:pPr>
              <w:jc w:val="both"/>
              <w:rPr>
                <w:rFonts w:ascii="Arial" w:hAnsi="Arial" w:cs="Arial"/>
              </w:rPr>
            </w:pPr>
            <w:r w:rsidRPr="00C66F03">
              <w:rPr>
                <w:rFonts w:ascii="Arial" w:hAnsi="Arial" w:cs="Arial"/>
                <w:sz w:val="20"/>
                <w:szCs w:val="20"/>
              </w:rPr>
              <w:t>IT Executives CIO Essentials</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5C854D2" w14:textId="77777777" w:rsidR="00EB5A87" w:rsidRPr="00C75AD7" w:rsidRDefault="00EB5A87" w:rsidP="00226CF1">
            <w:pPr>
              <w:jc w:val="center"/>
              <w:rPr>
                <w:rFonts w:ascii="Arial" w:hAnsi="Arial" w:cs="Arial"/>
              </w:rPr>
            </w:pPr>
            <w:r w:rsidRPr="00C66F03">
              <w:rPr>
                <w:rFonts w:ascii="Arial" w:hAnsi="Arial" w:cs="Arial"/>
                <w:sz w:val="20"/>
                <w:szCs w:val="20"/>
              </w:rPr>
              <w:t>3</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16ACEF0" w14:textId="77777777" w:rsidR="00EB5A87" w:rsidRPr="00C75AD7" w:rsidRDefault="00EB5A87" w:rsidP="00226CF1">
            <w:pPr>
              <w:jc w:val="center"/>
              <w:rPr>
                <w:rFonts w:ascii="Arial" w:hAnsi="Arial" w:cs="Arial"/>
              </w:rPr>
            </w:pPr>
            <w:r w:rsidRPr="00C66F03">
              <w:rPr>
                <w:rFonts w:ascii="Arial" w:hAnsi="Arial" w:cs="Arial"/>
                <w:sz w:val="20"/>
                <w:szCs w:val="20"/>
              </w:rPr>
              <w:t>3</w:t>
            </w:r>
          </w:p>
        </w:tc>
      </w:tr>
      <w:tr w:rsidR="00EB5A87" w:rsidRPr="00C66F03" w14:paraId="7FCE4211"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0045448" w14:textId="77777777" w:rsidR="00EB5A87" w:rsidRPr="00C75AD7" w:rsidRDefault="00EB5A87" w:rsidP="00226CF1">
            <w:pPr>
              <w:jc w:val="both"/>
              <w:rPr>
                <w:rFonts w:ascii="Arial" w:hAnsi="Arial" w:cs="Arial"/>
              </w:rPr>
            </w:pPr>
            <w:r w:rsidRPr="00C66F03">
              <w:rPr>
                <w:rFonts w:ascii="Arial" w:hAnsi="Arial" w:cs="Arial"/>
                <w:sz w:val="20"/>
                <w:szCs w:val="20"/>
              </w:rPr>
              <w:t>ICT Strategica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1222A65" w14:textId="77777777" w:rsidR="00EB5A87" w:rsidRPr="00C75AD7" w:rsidRDefault="00EB5A87" w:rsidP="00226CF1">
            <w:pPr>
              <w:jc w:val="both"/>
              <w:rPr>
                <w:rFonts w:ascii="Arial" w:hAnsi="Arial" w:cs="Arial"/>
              </w:rPr>
            </w:pPr>
            <w:r w:rsidRPr="00C66F03">
              <w:rPr>
                <w:rFonts w:ascii="Arial" w:hAnsi="Arial" w:cs="Arial"/>
                <w:sz w:val="20"/>
                <w:szCs w:val="20"/>
              </w:rPr>
              <w:t>EPLT Leader</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6C12F2C" w14:textId="77777777" w:rsidR="00EB5A87" w:rsidRPr="00C75AD7" w:rsidRDefault="00EB5A87" w:rsidP="00226CF1">
            <w:pPr>
              <w:jc w:val="center"/>
              <w:rPr>
                <w:rFonts w:ascii="Arial" w:hAnsi="Arial" w:cs="Arial"/>
              </w:rPr>
            </w:pPr>
            <w:r w:rsidRPr="00C66F03">
              <w:rPr>
                <w:rFonts w:ascii="Arial" w:hAnsi="Arial" w:cs="Arial"/>
                <w:sz w:val="20"/>
                <w:szCs w:val="20"/>
              </w:rPr>
              <w:t>4</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C3B7397" w14:textId="77777777" w:rsidR="00EB5A87" w:rsidRPr="00C75AD7" w:rsidRDefault="00EB5A87" w:rsidP="00226CF1">
            <w:pPr>
              <w:jc w:val="center"/>
              <w:rPr>
                <w:rFonts w:ascii="Arial" w:hAnsi="Arial" w:cs="Arial"/>
              </w:rPr>
            </w:pPr>
            <w:r w:rsidRPr="00C66F03">
              <w:rPr>
                <w:rFonts w:ascii="Arial" w:hAnsi="Arial" w:cs="Arial"/>
                <w:sz w:val="20"/>
                <w:szCs w:val="20"/>
              </w:rPr>
              <w:t>4</w:t>
            </w:r>
          </w:p>
        </w:tc>
      </w:tr>
      <w:tr w:rsidR="00EB5A87" w:rsidRPr="00C66F03" w14:paraId="6DD51D87"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6C97AB1" w14:textId="77777777" w:rsidR="00EB5A87" w:rsidRPr="00C75AD7" w:rsidRDefault="00EB5A87" w:rsidP="00226CF1">
            <w:pPr>
              <w:jc w:val="both"/>
              <w:rPr>
                <w:rFonts w:ascii="Arial" w:hAnsi="Arial" w:cs="Arial"/>
              </w:rPr>
            </w:pPr>
            <w:r w:rsidRPr="00C66F03">
              <w:rPr>
                <w:rFonts w:ascii="Arial" w:hAnsi="Arial" w:cs="Arial"/>
                <w:sz w:val="20"/>
                <w:szCs w:val="20"/>
              </w:rPr>
              <w:t>ICT Strategica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1A749D2A" w14:textId="77777777" w:rsidR="00EB5A87" w:rsidRPr="00C75AD7" w:rsidRDefault="00EB5A87" w:rsidP="00226CF1">
            <w:pPr>
              <w:jc w:val="both"/>
              <w:rPr>
                <w:rFonts w:ascii="Arial" w:hAnsi="Arial" w:cs="Arial"/>
              </w:rPr>
            </w:pPr>
            <w:r w:rsidRPr="00C66F03">
              <w:rPr>
                <w:rFonts w:ascii="Arial" w:hAnsi="Arial" w:cs="Arial"/>
                <w:sz w:val="20"/>
                <w:szCs w:val="20"/>
              </w:rPr>
              <w:t xml:space="preserve">EPLT IT Executive </w:t>
            </w:r>
            <w:proofErr w:type="spellStart"/>
            <w:r w:rsidRPr="00C66F03">
              <w:rPr>
                <w:rFonts w:ascii="Arial" w:hAnsi="Arial" w:cs="Arial"/>
                <w:sz w:val="20"/>
                <w:szCs w:val="20"/>
              </w:rPr>
              <w:t>Member</w:t>
            </w:r>
            <w:proofErr w:type="spellEnd"/>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6BE04F7" w14:textId="77777777" w:rsidR="00EB5A87" w:rsidRPr="00C75AD7" w:rsidRDefault="00EB5A87" w:rsidP="00226CF1">
            <w:pPr>
              <w:jc w:val="center"/>
              <w:rPr>
                <w:rFonts w:ascii="Arial" w:hAnsi="Arial" w:cs="Arial"/>
              </w:rPr>
            </w:pPr>
            <w:r w:rsidRPr="00C66F03">
              <w:rPr>
                <w:rFonts w:ascii="Arial" w:hAnsi="Arial" w:cs="Arial"/>
                <w:sz w:val="20"/>
                <w:szCs w:val="20"/>
              </w:rPr>
              <w:t>11</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2D12DC1" w14:textId="77777777" w:rsidR="00EB5A87" w:rsidRPr="00C75AD7" w:rsidRDefault="00EB5A87" w:rsidP="00226CF1">
            <w:pPr>
              <w:jc w:val="center"/>
              <w:rPr>
                <w:rFonts w:ascii="Arial" w:hAnsi="Arial" w:cs="Arial"/>
              </w:rPr>
            </w:pPr>
            <w:r w:rsidRPr="00C66F03">
              <w:rPr>
                <w:rFonts w:ascii="Arial" w:hAnsi="Arial" w:cs="Arial"/>
                <w:sz w:val="20"/>
                <w:szCs w:val="20"/>
              </w:rPr>
              <w:t>13</w:t>
            </w:r>
          </w:p>
        </w:tc>
      </w:tr>
      <w:tr w:rsidR="00EB5A87" w:rsidRPr="00C66F03" w14:paraId="2FF225E1"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3DAAAC6" w14:textId="77777777" w:rsidR="00EB5A87" w:rsidRPr="00C75AD7" w:rsidRDefault="00EB5A87" w:rsidP="00226CF1">
            <w:pPr>
              <w:jc w:val="both"/>
              <w:rPr>
                <w:rFonts w:ascii="Arial" w:hAnsi="Arial" w:cs="Arial"/>
              </w:rPr>
            </w:pPr>
            <w:r w:rsidRPr="00C66F03">
              <w:rPr>
                <w:rFonts w:ascii="Arial" w:hAnsi="Arial" w:cs="Arial"/>
                <w:sz w:val="20"/>
                <w:szCs w:val="20"/>
              </w:rPr>
              <w:t>ICT Tecnica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16D6229B" w14:textId="77777777" w:rsidR="00EB5A87" w:rsidRPr="00C75AD7" w:rsidRDefault="00EB5A87" w:rsidP="00226CF1">
            <w:pPr>
              <w:jc w:val="both"/>
              <w:rPr>
                <w:rFonts w:ascii="Arial" w:hAnsi="Arial" w:cs="Arial"/>
                <w:lang w:val="en-US"/>
              </w:rPr>
            </w:pPr>
            <w:r w:rsidRPr="00C66F03">
              <w:rPr>
                <w:rFonts w:ascii="Arial" w:hAnsi="Arial" w:cs="Arial"/>
                <w:sz w:val="20"/>
                <w:szCs w:val="20"/>
                <w:lang w:val="en-US"/>
              </w:rPr>
              <w:t>GTP Advisor SMB Enterprise Access</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FFA6263" w14:textId="77777777" w:rsidR="00EB5A87" w:rsidRPr="00C75AD7" w:rsidRDefault="00EB5A87" w:rsidP="00226CF1">
            <w:pPr>
              <w:jc w:val="center"/>
              <w:rPr>
                <w:rFonts w:ascii="Arial" w:hAnsi="Arial" w:cs="Arial"/>
              </w:rPr>
            </w:pPr>
            <w:r w:rsidRPr="00C66F03">
              <w:rPr>
                <w:rFonts w:ascii="Arial" w:hAnsi="Arial" w:cs="Arial"/>
                <w:sz w:val="20"/>
                <w:szCs w:val="20"/>
              </w:rPr>
              <w:t>4</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339D2DC8" w14:textId="77777777" w:rsidR="00EB5A87" w:rsidRPr="00C75AD7" w:rsidRDefault="00EB5A87" w:rsidP="00226CF1">
            <w:pPr>
              <w:jc w:val="center"/>
              <w:rPr>
                <w:rFonts w:ascii="Arial" w:hAnsi="Arial" w:cs="Arial"/>
              </w:rPr>
            </w:pPr>
            <w:r w:rsidRPr="00C66F03">
              <w:rPr>
                <w:rFonts w:ascii="Arial" w:hAnsi="Arial" w:cs="Arial"/>
                <w:sz w:val="20"/>
                <w:szCs w:val="20"/>
              </w:rPr>
              <w:t>2</w:t>
            </w:r>
          </w:p>
        </w:tc>
      </w:tr>
      <w:tr w:rsidR="00EB5A87" w:rsidRPr="00C66F03" w14:paraId="0E68B761"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7A3E281" w14:textId="77777777" w:rsidR="00EB5A87" w:rsidRPr="00C75AD7" w:rsidRDefault="00EB5A87" w:rsidP="00226CF1">
            <w:pPr>
              <w:jc w:val="both"/>
              <w:rPr>
                <w:rFonts w:ascii="Arial" w:hAnsi="Arial" w:cs="Arial"/>
              </w:rPr>
            </w:pPr>
            <w:r w:rsidRPr="00C66F03">
              <w:rPr>
                <w:rFonts w:ascii="Arial" w:hAnsi="Arial" w:cs="Arial"/>
                <w:sz w:val="20"/>
                <w:szCs w:val="20"/>
              </w:rPr>
              <w:t>ICT Tecnica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53570C9" w14:textId="77777777" w:rsidR="00EB5A87" w:rsidRPr="00C75AD7" w:rsidRDefault="00EB5A87" w:rsidP="00226CF1">
            <w:pPr>
              <w:jc w:val="both"/>
              <w:rPr>
                <w:rFonts w:ascii="Arial" w:hAnsi="Arial" w:cs="Arial"/>
              </w:rPr>
            </w:pPr>
            <w:r w:rsidRPr="00C66F03">
              <w:rPr>
                <w:rFonts w:ascii="Arial" w:hAnsi="Arial" w:cs="Arial"/>
                <w:sz w:val="20"/>
                <w:szCs w:val="20"/>
              </w:rPr>
              <w:t>GTP Team Leader</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E34CE06" w14:textId="77777777" w:rsidR="00EB5A87" w:rsidRPr="00C75AD7" w:rsidRDefault="00EB5A87" w:rsidP="00226CF1">
            <w:pPr>
              <w:jc w:val="center"/>
              <w:rPr>
                <w:rFonts w:ascii="Arial" w:hAnsi="Arial" w:cs="Arial"/>
              </w:rPr>
            </w:pPr>
            <w:r w:rsidRPr="00C66F03">
              <w:rPr>
                <w:rFonts w:ascii="Arial" w:hAnsi="Arial" w:cs="Arial"/>
                <w:sz w:val="20"/>
                <w:szCs w:val="20"/>
              </w:rPr>
              <w:t>1</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AD09172" w14:textId="77777777" w:rsidR="00EB5A87" w:rsidRPr="00C75AD7" w:rsidRDefault="00EB5A87" w:rsidP="00226CF1">
            <w:pPr>
              <w:jc w:val="center"/>
              <w:rPr>
                <w:rFonts w:ascii="Arial" w:hAnsi="Arial" w:cs="Arial"/>
              </w:rPr>
            </w:pPr>
            <w:r w:rsidRPr="00C66F03">
              <w:rPr>
                <w:rFonts w:ascii="Arial" w:hAnsi="Arial" w:cs="Arial"/>
                <w:sz w:val="20"/>
                <w:szCs w:val="20"/>
              </w:rPr>
              <w:t>1</w:t>
            </w:r>
          </w:p>
        </w:tc>
      </w:tr>
      <w:tr w:rsidR="00EB5A87" w:rsidRPr="00C66F03" w14:paraId="1CBCF550"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24FCC78" w14:textId="77777777" w:rsidR="00EB5A87" w:rsidRPr="00C75AD7" w:rsidRDefault="00EB5A87" w:rsidP="00226CF1">
            <w:pPr>
              <w:jc w:val="both"/>
              <w:rPr>
                <w:rFonts w:ascii="Arial" w:hAnsi="Arial" w:cs="Arial"/>
              </w:rPr>
            </w:pPr>
            <w:r w:rsidRPr="00C66F03">
              <w:rPr>
                <w:rFonts w:ascii="Arial" w:hAnsi="Arial" w:cs="Arial"/>
                <w:sz w:val="20"/>
                <w:szCs w:val="20"/>
              </w:rPr>
              <w:t>ICT Tecnica</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2A63F555" w14:textId="77777777" w:rsidR="00EB5A87" w:rsidRPr="00C75AD7" w:rsidRDefault="00EB5A87" w:rsidP="00226CF1">
            <w:pPr>
              <w:jc w:val="both"/>
              <w:rPr>
                <w:rFonts w:ascii="Arial" w:hAnsi="Arial" w:cs="Arial"/>
              </w:rPr>
            </w:pPr>
            <w:r w:rsidRPr="00C66F03">
              <w:rPr>
                <w:rFonts w:ascii="Arial" w:hAnsi="Arial" w:cs="Arial"/>
                <w:sz w:val="20"/>
                <w:szCs w:val="20"/>
              </w:rPr>
              <w:t xml:space="preserve">GTP Team </w:t>
            </w:r>
            <w:proofErr w:type="spellStart"/>
            <w:r w:rsidRPr="00C66F03">
              <w:rPr>
                <w:rFonts w:ascii="Arial" w:hAnsi="Arial" w:cs="Arial"/>
                <w:sz w:val="20"/>
                <w:szCs w:val="20"/>
              </w:rPr>
              <w:t>Member</w:t>
            </w:r>
            <w:proofErr w:type="spellEnd"/>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57C77A45" w14:textId="77777777" w:rsidR="00EB5A87" w:rsidRPr="00C75AD7" w:rsidRDefault="00EB5A87" w:rsidP="00226CF1">
            <w:pPr>
              <w:jc w:val="center"/>
              <w:rPr>
                <w:rFonts w:ascii="Arial" w:hAnsi="Arial" w:cs="Arial"/>
              </w:rPr>
            </w:pPr>
            <w:r w:rsidRPr="00C66F03">
              <w:rPr>
                <w:rFonts w:ascii="Arial" w:hAnsi="Arial" w:cs="Arial"/>
                <w:sz w:val="20"/>
                <w:szCs w:val="20"/>
              </w:rPr>
              <w:t>5</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1AAA9258" w14:textId="77777777" w:rsidR="00EB5A87" w:rsidRPr="00C75AD7" w:rsidRDefault="00EB5A87" w:rsidP="00226CF1">
            <w:pPr>
              <w:jc w:val="center"/>
              <w:rPr>
                <w:rFonts w:ascii="Arial" w:hAnsi="Arial" w:cs="Arial"/>
              </w:rPr>
            </w:pPr>
            <w:r w:rsidRPr="00C66F03">
              <w:rPr>
                <w:rFonts w:ascii="Arial" w:hAnsi="Arial" w:cs="Arial"/>
                <w:sz w:val="20"/>
                <w:szCs w:val="20"/>
              </w:rPr>
              <w:t>5</w:t>
            </w:r>
          </w:p>
        </w:tc>
      </w:tr>
      <w:tr w:rsidR="00EB5A87" w:rsidRPr="00C66F03" w14:paraId="3E13D097"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181BD282" w14:textId="77777777" w:rsidR="00EB5A87" w:rsidRPr="00C75AD7" w:rsidRDefault="00EB5A87" w:rsidP="00226CF1">
            <w:pPr>
              <w:jc w:val="both"/>
              <w:rPr>
                <w:rFonts w:ascii="Arial" w:hAnsi="Arial" w:cs="Arial"/>
              </w:rPr>
            </w:pPr>
            <w:r w:rsidRPr="00C66F03">
              <w:rPr>
                <w:rFonts w:ascii="Arial" w:hAnsi="Arial" w:cs="Arial"/>
                <w:sz w:val="20"/>
                <w:szCs w:val="20"/>
              </w:rPr>
              <w:t>Finance</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7E6793E6" w14:textId="77777777" w:rsidR="00EB5A87" w:rsidRPr="00C75AD7" w:rsidRDefault="00EB5A87" w:rsidP="00226CF1">
            <w:pPr>
              <w:jc w:val="both"/>
              <w:rPr>
                <w:rFonts w:ascii="Arial" w:hAnsi="Arial" w:cs="Arial"/>
                <w:lang w:val="en-US"/>
              </w:rPr>
            </w:pPr>
            <w:r w:rsidRPr="00C66F03">
              <w:rPr>
                <w:rFonts w:ascii="Arial" w:hAnsi="Arial" w:cs="Arial"/>
                <w:sz w:val="20"/>
                <w:szCs w:val="20"/>
                <w:lang w:val="en-US"/>
              </w:rPr>
              <w:t>Gartner for Finance Leader Individual Access Advisor</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6A1D41D" w14:textId="77777777" w:rsidR="00EB5A87" w:rsidRPr="00C75AD7" w:rsidRDefault="00EB5A87" w:rsidP="00226CF1">
            <w:pPr>
              <w:jc w:val="center"/>
              <w:rPr>
                <w:rFonts w:ascii="Arial" w:hAnsi="Arial" w:cs="Arial"/>
              </w:rPr>
            </w:pPr>
            <w:r w:rsidRPr="00C66F03">
              <w:rPr>
                <w:rFonts w:ascii="Arial" w:hAnsi="Arial" w:cs="Arial"/>
                <w:sz w:val="20"/>
                <w:szCs w:val="20"/>
              </w:rPr>
              <w:t>1</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69535C96" w14:textId="77777777" w:rsidR="00EB5A87" w:rsidRPr="00C75AD7" w:rsidRDefault="00EB5A87" w:rsidP="00226CF1">
            <w:pPr>
              <w:jc w:val="center"/>
              <w:rPr>
                <w:rFonts w:ascii="Arial" w:hAnsi="Arial" w:cs="Arial"/>
              </w:rPr>
            </w:pPr>
            <w:r w:rsidRPr="00C66F03">
              <w:rPr>
                <w:rFonts w:ascii="Arial" w:hAnsi="Arial" w:cs="Arial"/>
                <w:sz w:val="20"/>
                <w:szCs w:val="20"/>
              </w:rPr>
              <w:t>1</w:t>
            </w:r>
          </w:p>
        </w:tc>
      </w:tr>
      <w:tr w:rsidR="00EB5A87" w:rsidRPr="00C66F03" w14:paraId="04582666" w14:textId="77777777" w:rsidTr="00226CF1">
        <w:trPr>
          <w:tblCellSpacing w:w="15" w:type="dxa"/>
        </w:trPr>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1936127D" w14:textId="77777777" w:rsidR="00EB5A87" w:rsidRPr="00C75AD7" w:rsidRDefault="00EB5A87" w:rsidP="00226CF1">
            <w:pPr>
              <w:jc w:val="both"/>
              <w:rPr>
                <w:rFonts w:ascii="Arial" w:hAnsi="Arial" w:cs="Arial"/>
              </w:rPr>
            </w:pPr>
            <w:r w:rsidRPr="00C66F03">
              <w:rPr>
                <w:rFonts w:ascii="Arial" w:hAnsi="Arial" w:cs="Arial"/>
                <w:sz w:val="20"/>
                <w:szCs w:val="20"/>
              </w:rPr>
              <w:t>Finance</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A7012E3" w14:textId="77777777" w:rsidR="00EB5A87" w:rsidRPr="00C75AD7" w:rsidRDefault="00EB5A87" w:rsidP="00226CF1">
            <w:pPr>
              <w:jc w:val="both"/>
              <w:rPr>
                <w:rFonts w:ascii="Arial" w:hAnsi="Arial" w:cs="Arial"/>
                <w:lang w:val="en-US"/>
              </w:rPr>
            </w:pPr>
            <w:r w:rsidRPr="00C66F03">
              <w:rPr>
                <w:rFonts w:ascii="Arial" w:hAnsi="Arial" w:cs="Arial"/>
                <w:sz w:val="20"/>
                <w:szCs w:val="20"/>
                <w:lang w:val="en-US"/>
              </w:rPr>
              <w:t>Gartner for Finance Leader- Team Member</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48916143" w14:textId="77777777" w:rsidR="00EB5A87" w:rsidRPr="00C75AD7" w:rsidRDefault="00EB5A87" w:rsidP="00226CF1">
            <w:pPr>
              <w:jc w:val="center"/>
              <w:rPr>
                <w:rFonts w:ascii="Arial" w:hAnsi="Arial" w:cs="Arial"/>
              </w:rPr>
            </w:pPr>
            <w:r w:rsidRPr="00C66F03">
              <w:rPr>
                <w:rFonts w:ascii="Arial" w:hAnsi="Arial" w:cs="Arial"/>
                <w:sz w:val="20"/>
                <w:szCs w:val="20"/>
              </w:rPr>
              <w:t>1</w:t>
            </w:r>
          </w:p>
        </w:tc>
        <w:tc>
          <w:tcPr>
            <w:tcW w:w="0" w:type="auto"/>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vAlign w:val="center"/>
            <w:hideMark/>
          </w:tcPr>
          <w:p w14:paraId="0C4D162B" w14:textId="77777777" w:rsidR="00EB5A87" w:rsidRPr="00C75AD7" w:rsidRDefault="00EB5A87" w:rsidP="00226CF1">
            <w:pPr>
              <w:jc w:val="center"/>
              <w:rPr>
                <w:rFonts w:ascii="Arial" w:hAnsi="Arial" w:cs="Arial"/>
              </w:rPr>
            </w:pPr>
            <w:r w:rsidRPr="00C66F03">
              <w:rPr>
                <w:rFonts w:ascii="Arial" w:hAnsi="Arial" w:cs="Arial"/>
                <w:sz w:val="20"/>
                <w:szCs w:val="20"/>
              </w:rPr>
              <w:t>0</w:t>
            </w:r>
          </w:p>
        </w:tc>
      </w:tr>
    </w:tbl>
    <w:p w14:paraId="0D4CF70F" w14:textId="77777777" w:rsidR="000B1A8F" w:rsidRPr="00C66F03" w:rsidRDefault="000B1A8F" w:rsidP="000B1A8F">
      <w:pPr>
        <w:pStyle w:val="NormaleWeb"/>
        <w:spacing w:before="120" w:beforeAutospacing="0" w:after="120" w:afterAutospacing="0" w:line="276" w:lineRule="auto"/>
        <w:jc w:val="both"/>
        <w:rPr>
          <w:rFonts w:ascii="Arial" w:hAnsi="Arial" w:cs="Arial"/>
          <w:color w:val="0070C0"/>
          <w:sz w:val="20"/>
          <w:szCs w:val="20"/>
        </w:rPr>
      </w:pPr>
    </w:p>
    <w:p w14:paraId="0E7AAF77" w14:textId="608D18A0" w:rsidR="00EB5A87" w:rsidRPr="00BD2EB1" w:rsidRDefault="00EB5A87" w:rsidP="000B1A8F">
      <w:pPr>
        <w:pStyle w:val="NormaleWeb"/>
        <w:spacing w:before="120" w:beforeAutospacing="0" w:after="120" w:afterAutospacing="0" w:line="276" w:lineRule="auto"/>
        <w:jc w:val="both"/>
        <w:rPr>
          <w:rFonts w:ascii="Arial" w:hAnsi="Arial" w:cs="Arial"/>
          <w:sz w:val="20"/>
          <w:szCs w:val="20"/>
        </w:rPr>
      </w:pPr>
      <w:r w:rsidRPr="00BD2EB1">
        <w:rPr>
          <w:rFonts w:ascii="Arial" w:hAnsi="Arial" w:cs="Arial"/>
          <w:sz w:val="20"/>
          <w:szCs w:val="20"/>
        </w:rPr>
        <w:t xml:space="preserve">Il prezzo stimato per l’acquisizione per </w:t>
      </w:r>
      <w:r w:rsidR="00C21D5E" w:rsidRPr="00BD2EB1">
        <w:rPr>
          <w:rFonts w:ascii="Arial" w:hAnsi="Arial" w:cs="Arial"/>
          <w:sz w:val="20"/>
          <w:szCs w:val="20"/>
        </w:rPr>
        <w:t xml:space="preserve">24 mesi </w:t>
      </w:r>
      <w:r w:rsidRPr="00BD2EB1">
        <w:rPr>
          <w:rFonts w:ascii="Arial" w:hAnsi="Arial" w:cs="Arial"/>
          <w:sz w:val="20"/>
          <w:szCs w:val="20"/>
        </w:rPr>
        <w:t xml:space="preserve">delle licenze e dei servizi previsti </w:t>
      </w:r>
      <w:r w:rsidR="00C21D5E" w:rsidRPr="00BD2EB1">
        <w:rPr>
          <w:rFonts w:ascii="Arial" w:hAnsi="Arial" w:cs="Arial"/>
          <w:sz w:val="20"/>
          <w:szCs w:val="20"/>
        </w:rPr>
        <w:t>non sarà indicativamente superiore a</w:t>
      </w:r>
      <w:r w:rsidRPr="00BD2EB1">
        <w:rPr>
          <w:rFonts w:ascii="Arial" w:hAnsi="Arial" w:cs="Arial"/>
          <w:sz w:val="20"/>
          <w:szCs w:val="20"/>
        </w:rPr>
        <w:t xml:space="preserve"> € 7.200.000,00</w:t>
      </w:r>
      <w:r w:rsidR="00C21D5E" w:rsidRPr="00BD2EB1">
        <w:rPr>
          <w:rFonts w:ascii="Arial" w:hAnsi="Arial" w:cs="Arial"/>
          <w:sz w:val="20"/>
          <w:szCs w:val="20"/>
        </w:rPr>
        <w:t xml:space="preserve"> (IVA esclusa)</w:t>
      </w:r>
      <w:r w:rsidRPr="00BD2EB1">
        <w:rPr>
          <w:rFonts w:ascii="Arial" w:hAnsi="Arial" w:cs="Arial"/>
          <w:sz w:val="20"/>
          <w:szCs w:val="20"/>
        </w:rPr>
        <w:t>.</w:t>
      </w:r>
    </w:p>
    <w:p w14:paraId="37F2359E" w14:textId="77777777" w:rsidR="00EB5A87" w:rsidRPr="00C75AD7" w:rsidRDefault="00EB5A87" w:rsidP="00C75AD7">
      <w:pPr>
        <w:pStyle w:val="NormaleWeb"/>
        <w:spacing w:before="120" w:beforeAutospacing="0" w:after="120" w:afterAutospacing="0" w:line="276" w:lineRule="auto"/>
        <w:jc w:val="both"/>
        <w:rPr>
          <w:rFonts w:ascii="Arial" w:hAnsi="Arial" w:cs="Arial"/>
          <w:color w:val="0070C0"/>
          <w:sz w:val="20"/>
          <w:szCs w:val="20"/>
        </w:rPr>
      </w:pPr>
    </w:p>
    <w:p w14:paraId="059FEC52" w14:textId="77777777" w:rsidR="00DC69C7" w:rsidRPr="00C66F03" w:rsidRDefault="00522FB0">
      <w:pPr>
        <w:pStyle w:val="Titolo1"/>
        <w:numPr>
          <w:ilvl w:val="0"/>
          <w:numId w:val="0"/>
        </w:numPr>
        <w:rPr>
          <w:rFonts w:cs="Arial"/>
          <w:szCs w:val="22"/>
        </w:rPr>
      </w:pPr>
      <w:r w:rsidRPr="00C66F03">
        <w:rPr>
          <w:rFonts w:cs="Arial"/>
          <w:szCs w:val="22"/>
        </w:rPr>
        <w:t>Domande</w:t>
      </w:r>
    </w:p>
    <w:p w14:paraId="6339C58D" w14:textId="77777777" w:rsidR="00DC69C7" w:rsidRPr="00C66F03" w:rsidRDefault="00522FB0">
      <w:pPr>
        <w:numPr>
          <w:ilvl w:val="0"/>
          <w:numId w:val="3"/>
        </w:numPr>
        <w:spacing w:after="120" w:line="276" w:lineRule="auto"/>
        <w:ind w:left="0" w:firstLine="0"/>
        <w:jc w:val="both"/>
        <w:rPr>
          <w:rFonts w:ascii="Arial" w:hAnsi="Arial" w:cs="Arial"/>
          <w:sz w:val="20"/>
          <w:szCs w:val="20"/>
        </w:rPr>
      </w:pPr>
      <w:r w:rsidRPr="00C66F03">
        <w:rPr>
          <w:rFonts w:ascii="Arial" w:hAnsi="Arial" w:cs="Arial"/>
          <w:sz w:val="20"/>
          <w:szCs w:val="20"/>
        </w:rPr>
        <w:t xml:space="preserve">Riportare una breve descrizione dell’azienda, indicando la tipologia (piccola, media, grande), i </w:t>
      </w:r>
      <w:r w:rsidRPr="00C66F03">
        <w:rPr>
          <w:rFonts w:ascii="Arial" w:hAnsi="Arial" w:cs="Arial"/>
          <w:sz w:val="20"/>
          <w:szCs w:val="20"/>
        </w:rPr>
        <w:tab/>
        <w:t xml:space="preserve">settori di attività, il </w:t>
      </w:r>
      <w:r w:rsidRPr="00C66F03">
        <w:rPr>
          <w:rFonts w:ascii="Arial" w:hAnsi="Arial" w:cs="Arial"/>
          <w:i/>
          <w:sz w:val="20"/>
          <w:szCs w:val="20"/>
        </w:rPr>
        <w:t>core business</w:t>
      </w:r>
      <w:r w:rsidRPr="00C66F03">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0EC60D56" w14:textId="77777777">
        <w:trPr>
          <w:trHeight w:val="1824"/>
        </w:trPr>
        <w:tc>
          <w:tcPr>
            <w:tcW w:w="8494" w:type="dxa"/>
            <w:shd w:val="clear" w:color="auto" w:fill="F2F2F2" w:themeFill="background1" w:themeFillShade="F2"/>
          </w:tcPr>
          <w:p w14:paraId="3A5CA22B" w14:textId="77777777" w:rsidR="00DC69C7" w:rsidRPr="00C66F03" w:rsidRDefault="00DC69C7">
            <w:pPr>
              <w:jc w:val="both"/>
              <w:rPr>
                <w:rFonts w:ascii="Arial" w:hAnsi="Arial" w:cs="Arial"/>
                <w:bCs/>
                <w:sz w:val="20"/>
                <w:szCs w:val="20"/>
              </w:rPr>
            </w:pPr>
          </w:p>
        </w:tc>
      </w:tr>
    </w:tbl>
    <w:p w14:paraId="5EFA5B2E" w14:textId="77777777" w:rsidR="00DC69C7" w:rsidRPr="00C66F03" w:rsidRDefault="00DC69C7">
      <w:pPr>
        <w:spacing w:line="360" w:lineRule="auto"/>
        <w:jc w:val="both"/>
        <w:rPr>
          <w:rFonts w:ascii="Arial" w:hAnsi="Arial" w:cs="Arial"/>
          <w:sz w:val="20"/>
          <w:szCs w:val="20"/>
        </w:rPr>
      </w:pPr>
    </w:p>
    <w:p w14:paraId="4588E3BB" w14:textId="03C2C1FC" w:rsidR="00DC69C7" w:rsidRPr="00C66F03" w:rsidRDefault="00522FB0">
      <w:pPr>
        <w:numPr>
          <w:ilvl w:val="0"/>
          <w:numId w:val="3"/>
        </w:numPr>
        <w:spacing w:after="120" w:line="276" w:lineRule="auto"/>
        <w:ind w:left="357" w:hanging="357"/>
        <w:jc w:val="both"/>
        <w:rPr>
          <w:rFonts w:ascii="Arial" w:hAnsi="Arial" w:cs="Arial"/>
          <w:sz w:val="20"/>
          <w:szCs w:val="20"/>
        </w:rPr>
      </w:pPr>
      <w:r w:rsidRPr="00C66F03">
        <w:rPr>
          <w:rFonts w:ascii="Arial" w:hAnsi="Arial" w:cs="Arial"/>
          <w:sz w:val="20"/>
          <w:szCs w:val="20"/>
        </w:rPr>
        <w:t xml:space="preserve">In relazione a quanto compreso nell’oggetto </w:t>
      </w:r>
      <w:r w:rsidRPr="00BD2EB1">
        <w:rPr>
          <w:rFonts w:ascii="Arial" w:hAnsi="Arial" w:cs="Arial"/>
          <w:sz w:val="20"/>
          <w:szCs w:val="20"/>
        </w:rPr>
        <w:t xml:space="preserve">dell’iniziativa </w:t>
      </w:r>
      <w:r w:rsidR="00C21D5E" w:rsidRPr="00BD2EB1">
        <w:rPr>
          <w:rFonts w:ascii="Arial" w:hAnsi="Arial" w:cs="Arial"/>
          <w:sz w:val="20"/>
          <w:szCs w:val="20"/>
        </w:rPr>
        <w:t xml:space="preserve">ossia licenze e servizi di banche dati ICT Gartner </w:t>
      </w:r>
      <w:r w:rsidRPr="00BD2EB1">
        <w:rPr>
          <w:rFonts w:ascii="Arial" w:hAnsi="Arial" w:cs="Arial"/>
          <w:sz w:val="20"/>
          <w:szCs w:val="20"/>
        </w:rPr>
        <w:t xml:space="preserve">indicare qual è il fatturato annuo medio realizzato dall’Azienda </w:t>
      </w:r>
      <w:r w:rsidRPr="00C66F03">
        <w:rPr>
          <w:rFonts w:ascii="Arial" w:hAnsi="Arial" w:cs="Arial"/>
          <w:sz w:val="20"/>
          <w:szCs w:val="20"/>
        </w:rPr>
        <w:t xml:space="preserve">nell’ultimo biennio sia nel mercato </w:t>
      </w:r>
      <w:proofErr w:type="gramStart"/>
      <w:r w:rsidRPr="00C66F03">
        <w:rPr>
          <w:rFonts w:ascii="Arial" w:hAnsi="Arial" w:cs="Arial"/>
          <w:sz w:val="20"/>
          <w:szCs w:val="20"/>
        </w:rPr>
        <w:t>Italiano</w:t>
      </w:r>
      <w:proofErr w:type="gramEnd"/>
      <w:r w:rsidRPr="00C66F03">
        <w:rPr>
          <w:rFonts w:ascii="Arial" w:hAnsi="Arial" w:cs="Arial"/>
          <w:sz w:val="20"/>
          <w:szCs w:val="20"/>
        </w:rPr>
        <w:t xml:space="preserve"> che nello specifico mercato della Pubblica Amministrazione?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0C9C7938" w14:textId="77777777">
        <w:trPr>
          <w:trHeight w:val="1824"/>
        </w:trPr>
        <w:tc>
          <w:tcPr>
            <w:tcW w:w="8494" w:type="dxa"/>
            <w:shd w:val="clear" w:color="auto" w:fill="F2F2F2" w:themeFill="background1" w:themeFillShade="F2"/>
          </w:tcPr>
          <w:p w14:paraId="2F95459E" w14:textId="77777777" w:rsidR="00DC69C7" w:rsidRPr="00C66F03" w:rsidRDefault="00DC69C7">
            <w:pPr>
              <w:jc w:val="both"/>
              <w:rPr>
                <w:rFonts w:ascii="Arial" w:hAnsi="Arial" w:cs="Arial"/>
                <w:bCs/>
                <w:sz w:val="20"/>
                <w:szCs w:val="20"/>
              </w:rPr>
            </w:pPr>
          </w:p>
        </w:tc>
      </w:tr>
    </w:tbl>
    <w:p w14:paraId="69E3235F" w14:textId="77777777" w:rsidR="00DC69C7" w:rsidRPr="00C66F03" w:rsidRDefault="00DC69C7">
      <w:pPr>
        <w:spacing w:line="360" w:lineRule="auto"/>
        <w:jc w:val="both"/>
        <w:rPr>
          <w:rFonts w:ascii="Arial" w:hAnsi="Arial" w:cs="Arial"/>
          <w:sz w:val="20"/>
          <w:szCs w:val="20"/>
        </w:rPr>
      </w:pPr>
    </w:p>
    <w:p w14:paraId="49D0DF09" w14:textId="37C960F4" w:rsidR="00DC69C7" w:rsidRPr="00C66F03" w:rsidRDefault="00522FB0">
      <w:pPr>
        <w:numPr>
          <w:ilvl w:val="0"/>
          <w:numId w:val="3"/>
        </w:numPr>
        <w:spacing w:after="120" w:line="276" w:lineRule="auto"/>
        <w:ind w:left="357" w:hanging="357"/>
        <w:jc w:val="both"/>
        <w:rPr>
          <w:rFonts w:ascii="Arial" w:hAnsi="Arial" w:cs="Arial"/>
          <w:sz w:val="20"/>
          <w:szCs w:val="20"/>
        </w:rPr>
      </w:pPr>
      <w:r w:rsidRPr="00C66F03">
        <w:rPr>
          <w:rFonts w:ascii="Arial" w:hAnsi="Arial" w:cs="Arial"/>
          <w:sz w:val="20"/>
          <w:szCs w:val="20"/>
        </w:rPr>
        <w:t xml:space="preserve">In relazione a quanto compreso nell’oggetto </w:t>
      </w:r>
      <w:r w:rsidRPr="00BD2EB1">
        <w:rPr>
          <w:rFonts w:ascii="Arial" w:hAnsi="Arial" w:cs="Arial"/>
          <w:sz w:val="20"/>
          <w:szCs w:val="20"/>
        </w:rPr>
        <w:t xml:space="preserve">dell’iniziativa </w:t>
      </w:r>
      <w:r w:rsidR="00C21D5E" w:rsidRPr="00BD2EB1">
        <w:rPr>
          <w:rFonts w:ascii="Arial" w:hAnsi="Arial" w:cs="Arial"/>
          <w:sz w:val="20"/>
          <w:szCs w:val="20"/>
        </w:rPr>
        <w:t xml:space="preserve">ossia licenze e servizi di banche dati ICT Gartner </w:t>
      </w:r>
      <w:r w:rsidRPr="00BD2EB1">
        <w:rPr>
          <w:rFonts w:ascii="Arial" w:hAnsi="Arial" w:cs="Arial"/>
          <w:sz w:val="20"/>
          <w:szCs w:val="20"/>
        </w:rPr>
        <w:t xml:space="preserve">descrivere le politiche commerciali, (vendita </w:t>
      </w:r>
      <w:r w:rsidRPr="00C66F03">
        <w:rPr>
          <w:rFonts w:ascii="Arial" w:hAnsi="Arial" w:cs="Arial"/>
          <w:sz w:val="20"/>
          <w:szCs w:val="20"/>
        </w:rPr>
        <w:t xml:space="preserve">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1370D8BD" w14:textId="77777777">
        <w:trPr>
          <w:trHeight w:val="1824"/>
        </w:trPr>
        <w:tc>
          <w:tcPr>
            <w:tcW w:w="8494" w:type="dxa"/>
            <w:shd w:val="clear" w:color="auto" w:fill="F2F2F2" w:themeFill="background1" w:themeFillShade="F2"/>
          </w:tcPr>
          <w:p w14:paraId="6D0928D8" w14:textId="77777777" w:rsidR="00DC69C7" w:rsidRPr="00C66F03" w:rsidRDefault="00DC69C7">
            <w:pPr>
              <w:jc w:val="both"/>
              <w:rPr>
                <w:rFonts w:ascii="Arial" w:hAnsi="Arial" w:cs="Arial"/>
                <w:bCs/>
                <w:sz w:val="20"/>
                <w:szCs w:val="20"/>
              </w:rPr>
            </w:pPr>
          </w:p>
        </w:tc>
      </w:tr>
    </w:tbl>
    <w:p w14:paraId="6B377E49" w14:textId="77777777" w:rsidR="00DC69C7" w:rsidRPr="00C66F03" w:rsidRDefault="00DC69C7">
      <w:pPr>
        <w:spacing w:line="360" w:lineRule="auto"/>
        <w:jc w:val="both"/>
        <w:rPr>
          <w:rFonts w:ascii="Arial" w:hAnsi="Arial" w:cs="Arial"/>
          <w:sz w:val="20"/>
          <w:szCs w:val="20"/>
        </w:rPr>
      </w:pPr>
    </w:p>
    <w:p w14:paraId="4AF49621" w14:textId="68BFF9E4" w:rsidR="00DC69C7" w:rsidRPr="00C66F03" w:rsidRDefault="00522FB0">
      <w:pPr>
        <w:numPr>
          <w:ilvl w:val="0"/>
          <w:numId w:val="3"/>
        </w:numPr>
        <w:spacing w:after="120" w:line="276" w:lineRule="auto"/>
        <w:ind w:left="357" w:hanging="357"/>
        <w:jc w:val="both"/>
        <w:rPr>
          <w:rFonts w:ascii="Arial" w:hAnsi="Arial" w:cs="Arial"/>
          <w:sz w:val="20"/>
          <w:szCs w:val="20"/>
        </w:rPr>
      </w:pPr>
      <w:r w:rsidRPr="00C66F03">
        <w:rPr>
          <w:rFonts w:ascii="Arial" w:hAnsi="Arial" w:cs="Arial"/>
          <w:sz w:val="20"/>
          <w:szCs w:val="20"/>
        </w:rPr>
        <w:t xml:space="preserve">Specificare </w:t>
      </w:r>
      <w:r w:rsidRPr="00BD2EB1">
        <w:rPr>
          <w:rFonts w:ascii="Arial" w:hAnsi="Arial" w:cs="Arial"/>
          <w:sz w:val="20"/>
          <w:szCs w:val="20"/>
        </w:rPr>
        <w:t xml:space="preserve">se </w:t>
      </w:r>
      <w:r w:rsidR="00C21D5E" w:rsidRPr="00BD2EB1">
        <w:rPr>
          <w:rFonts w:ascii="Arial" w:hAnsi="Arial" w:cs="Arial"/>
          <w:sz w:val="20"/>
          <w:szCs w:val="20"/>
        </w:rPr>
        <w:t xml:space="preserve">la fornitura di licenze e l’erogazione servizi di banche dati ICT Gartner </w:t>
      </w:r>
      <w:r w:rsidRPr="00BD2EB1">
        <w:rPr>
          <w:rFonts w:ascii="Arial" w:hAnsi="Arial" w:cs="Arial"/>
          <w:sz w:val="20"/>
          <w:szCs w:val="20"/>
        </w:rPr>
        <w:t xml:space="preserve">nella </w:t>
      </w:r>
      <w:r w:rsidRPr="00C66F03">
        <w:rPr>
          <w:rFonts w:ascii="Arial" w:hAnsi="Arial" w:cs="Arial"/>
          <w:sz w:val="20"/>
          <w:szCs w:val="20"/>
        </w:rPr>
        <w:t>modalità indicata, rientra nelle attività di fornitura della vostra azienda. 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6A3FAAB0" w14:textId="77777777">
        <w:trPr>
          <w:trHeight w:val="1824"/>
        </w:trPr>
        <w:tc>
          <w:tcPr>
            <w:tcW w:w="8494" w:type="dxa"/>
            <w:shd w:val="clear" w:color="auto" w:fill="F2F2F2" w:themeFill="background1" w:themeFillShade="F2"/>
          </w:tcPr>
          <w:p w14:paraId="24304123" w14:textId="77777777" w:rsidR="00DC69C7" w:rsidRPr="00C66F03" w:rsidRDefault="00DC69C7">
            <w:pPr>
              <w:jc w:val="both"/>
              <w:rPr>
                <w:rFonts w:ascii="Arial" w:hAnsi="Arial" w:cs="Arial"/>
                <w:bCs/>
                <w:sz w:val="20"/>
                <w:szCs w:val="20"/>
              </w:rPr>
            </w:pPr>
          </w:p>
        </w:tc>
      </w:tr>
    </w:tbl>
    <w:p w14:paraId="27840D03" w14:textId="77777777" w:rsidR="00DC69C7" w:rsidRPr="00C66F03" w:rsidRDefault="00DC69C7">
      <w:pPr>
        <w:jc w:val="both"/>
        <w:rPr>
          <w:rFonts w:ascii="Arial" w:hAnsi="Arial" w:cs="Arial"/>
          <w:sz w:val="20"/>
          <w:szCs w:val="20"/>
        </w:rPr>
      </w:pPr>
    </w:p>
    <w:p w14:paraId="0FF3F539" w14:textId="40020493" w:rsidR="00DC69C7" w:rsidRPr="00C66F03" w:rsidRDefault="00522FB0">
      <w:pPr>
        <w:pStyle w:val="BodyText21"/>
        <w:numPr>
          <w:ilvl w:val="0"/>
          <w:numId w:val="3"/>
        </w:numPr>
        <w:spacing w:line="276" w:lineRule="auto"/>
        <w:ind w:left="298" w:hangingChars="149" w:hanging="298"/>
        <w:rPr>
          <w:rFonts w:ascii="Arial" w:hAnsi="Arial" w:cs="Arial"/>
          <w:sz w:val="20"/>
          <w:szCs w:val="20"/>
        </w:rPr>
      </w:pPr>
      <w:r w:rsidRPr="00C66F03">
        <w:rPr>
          <w:rFonts w:ascii="Arial" w:hAnsi="Arial" w:cs="Arial"/>
          <w:sz w:val="20"/>
          <w:szCs w:val="20"/>
        </w:rPr>
        <w:t xml:space="preserve">Anche ai fini dell’art. </w:t>
      </w:r>
      <w:r w:rsidR="0019661C" w:rsidRPr="00C66F03">
        <w:rPr>
          <w:rFonts w:ascii="Arial" w:hAnsi="Arial" w:cs="Arial"/>
          <w:sz w:val="20"/>
          <w:szCs w:val="20"/>
        </w:rPr>
        <w:t>41</w:t>
      </w:r>
      <w:r w:rsidRPr="00C66F03">
        <w:rPr>
          <w:rFonts w:ascii="Arial" w:hAnsi="Arial" w:cs="Arial"/>
          <w:sz w:val="20"/>
          <w:szCs w:val="20"/>
        </w:rPr>
        <w:t>, comma 1</w:t>
      </w:r>
      <w:r w:rsidR="0019661C" w:rsidRPr="00C66F03">
        <w:rPr>
          <w:rFonts w:ascii="Arial" w:hAnsi="Arial" w:cs="Arial"/>
          <w:sz w:val="20"/>
          <w:szCs w:val="20"/>
        </w:rPr>
        <w:t>4</w:t>
      </w:r>
      <w:r w:rsidRPr="00C66F03">
        <w:rPr>
          <w:rFonts w:ascii="Arial" w:hAnsi="Arial" w:cs="Arial"/>
          <w:sz w:val="20"/>
          <w:szCs w:val="20"/>
        </w:rPr>
        <w:t xml:space="preserve">, del D. Lgs. n. </w:t>
      </w:r>
      <w:r w:rsidR="0019661C" w:rsidRPr="00C66F03">
        <w:rPr>
          <w:rFonts w:ascii="Arial" w:hAnsi="Arial" w:cs="Arial"/>
          <w:sz w:val="20"/>
          <w:szCs w:val="20"/>
        </w:rPr>
        <w:t>36</w:t>
      </w:r>
      <w:r w:rsidRPr="00C66F03">
        <w:rPr>
          <w:rFonts w:ascii="Arial" w:hAnsi="Arial" w:cs="Arial"/>
          <w:sz w:val="20"/>
          <w:szCs w:val="20"/>
        </w:rPr>
        <w:t>/20</w:t>
      </w:r>
      <w:r w:rsidR="0019661C" w:rsidRPr="00C66F03">
        <w:rPr>
          <w:rFonts w:ascii="Arial" w:hAnsi="Arial" w:cs="Arial"/>
          <w:sz w:val="20"/>
          <w:szCs w:val="20"/>
        </w:rPr>
        <w:t>23</w:t>
      </w:r>
      <w:r w:rsidRPr="00C66F03">
        <w:rPr>
          <w:rFonts w:ascii="Arial" w:hAnsi="Arial" w:cs="Arial"/>
          <w:sz w:val="20"/>
          <w:szCs w:val="20"/>
        </w:rPr>
        <w:t xml:space="preserve"> si chiede di precisare, con riferimento alle risorse di norma impiegate, da parte della vostra azienda, nell’erogazione di servizi della medesima tipologia di quelli descritti nel presente documento:</w:t>
      </w:r>
    </w:p>
    <w:p w14:paraId="1D1349FA" w14:textId="77777777" w:rsidR="00DC69C7" w:rsidRPr="00C66F03" w:rsidRDefault="00522FB0">
      <w:pPr>
        <w:pStyle w:val="Paragrafoelenco"/>
        <w:numPr>
          <w:ilvl w:val="0"/>
          <w:numId w:val="4"/>
        </w:numPr>
        <w:spacing w:line="276" w:lineRule="auto"/>
        <w:ind w:left="298" w:hangingChars="149" w:hanging="298"/>
        <w:jc w:val="both"/>
        <w:rPr>
          <w:rFonts w:ascii="Arial" w:hAnsi="Arial" w:cs="Arial"/>
          <w:sz w:val="20"/>
          <w:szCs w:val="20"/>
        </w:rPr>
      </w:pPr>
      <w:r w:rsidRPr="00C66F03">
        <w:rPr>
          <w:rFonts w:ascii="Arial" w:hAnsi="Arial" w:cs="Arial"/>
          <w:sz w:val="20"/>
          <w:szCs w:val="20"/>
        </w:rPr>
        <w:t>il contratto collettivo applicato, specificando il relativo settore merceologico;</w:t>
      </w:r>
    </w:p>
    <w:p w14:paraId="0809AD20" w14:textId="77777777" w:rsidR="00DC69C7" w:rsidRPr="00C66F03" w:rsidRDefault="00522FB0">
      <w:pPr>
        <w:pStyle w:val="Paragrafoelenco"/>
        <w:numPr>
          <w:ilvl w:val="0"/>
          <w:numId w:val="4"/>
        </w:numPr>
        <w:spacing w:line="276" w:lineRule="auto"/>
        <w:ind w:left="298" w:hangingChars="149" w:hanging="298"/>
        <w:jc w:val="both"/>
        <w:rPr>
          <w:rFonts w:ascii="Arial" w:hAnsi="Arial" w:cs="Arial"/>
          <w:sz w:val="20"/>
          <w:szCs w:val="20"/>
        </w:rPr>
      </w:pPr>
      <w:r w:rsidRPr="00C66F03">
        <w:rPr>
          <w:rFonts w:ascii="Arial" w:hAnsi="Arial" w:cs="Arial"/>
          <w:sz w:val="20"/>
          <w:szCs w:val="20"/>
        </w:rPr>
        <w:t>il/i livello/i di inquadramento;</w:t>
      </w:r>
    </w:p>
    <w:p w14:paraId="76436C07" w14:textId="77777777" w:rsidR="00DC69C7" w:rsidRPr="00C66F03" w:rsidRDefault="00522FB0">
      <w:pPr>
        <w:pStyle w:val="Paragrafoelenco"/>
        <w:numPr>
          <w:ilvl w:val="0"/>
          <w:numId w:val="4"/>
        </w:numPr>
        <w:spacing w:line="276" w:lineRule="auto"/>
        <w:ind w:left="298" w:hangingChars="149" w:hanging="298"/>
        <w:jc w:val="both"/>
        <w:rPr>
          <w:rFonts w:ascii="Arial" w:hAnsi="Arial" w:cs="Arial"/>
          <w:sz w:val="20"/>
          <w:szCs w:val="20"/>
        </w:rPr>
      </w:pPr>
      <w:r w:rsidRPr="00C66F03">
        <w:rPr>
          <w:rFonts w:ascii="Arial" w:hAnsi="Arial" w:cs="Arial"/>
          <w:sz w:val="20"/>
          <w:szCs w:val="20"/>
        </w:rPr>
        <w:lastRenderedPageBreak/>
        <w:t>l’anzianità di servizio;</w:t>
      </w:r>
    </w:p>
    <w:p w14:paraId="13944CB8" w14:textId="77777777" w:rsidR="00DC69C7" w:rsidRPr="00C66F03" w:rsidRDefault="00522FB0">
      <w:pPr>
        <w:pStyle w:val="Paragrafoelenco"/>
        <w:numPr>
          <w:ilvl w:val="0"/>
          <w:numId w:val="4"/>
        </w:numPr>
        <w:spacing w:after="120" w:line="276" w:lineRule="auto"/>
        <w:ind w:left="358" w:hanging="358"/>
        <w:jc w:val="both"/>
        <w:rPr>
          <w:rFonts w:ascii="Arial" w:hAnsi="Arial" w:cs="Arial"/>
          <w:sz w:val="20"/>
          <w:szCs w:val="20"/>
        </w:rPr>
      </w:pPr>
      <w:r w:rsidRPr="00C66F03">
        <w:rPr>
          <w:rFonts w:ascii="Arial" w:hAnsi="Arial" w:cs="Arial"/>
          <w:sz w:val="20"/>
          <w:szCs w:val="20"/>
        </w:rPr>
        <w:t>le retribuzioni medie e/o (per esempio in caso di incarichi di lavoro autonomo a partita IVA) i compensi medi, corrisposti per ciascuna figura professionale.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050B9A0C" w14:textId="77777777">
        <w:trPr>
          <w:trHeight w:val="1106"/>
        </w:trPr>
        <w:tc>
          <w:tcPr>
            <w:tcW w:w="8494" w:type="dxa"/>
            <w:shd w:val="clear" w:color="auto" w:fill="F2F2F2" w:themeFill="background1" w:themeFillShade="F2"/>
          </w:tcPr>
          <w:p w14:paraId="3B4FF234" w14:textId="77777777" w:rsidR="00DC69C7" w:rsidRPr="00C66F03" w:rsidRDefault="00DC69C7">
            <w:pPr>
              <w:jc w:val="both"/>
              <w:rPr>
                <w:rFonts w:ascii="Arial" w:hAnsi="Arial" w:cs="Arial"/>
                <w:bCs/>
                <w:sz w:val="20"/>
                <w:szCs w:val="20"/>
              </w:rPr>
            </w:pPr>
          </w:p>
        </w:tc>
      </w:tr>
    </w:tbl>
    <w:p w14:paraId="29217A14" w14:textId="77777777" w:rsidR="00DC69C7" w:rsidRPr="00C66F03" w:rsidRDefault="00DC69C7">
      <w:pPr>
        <w:jc w:val="both"/>
        <w:rPr>
          <w:rFonts w:ascii="Arial" w:hAnsi="Arial" w:cs="Arial"/>
          <w:sz w:val="20"/>
          <w:szCs w:val="20"/>
        </w:rPr>
      </w:pPr>
    </w:p>
    <w:p w14:paraId="04552231" w14:textId="77777777" w:rsidR="00DC69C7" w:rsidRPr="00C66F03" w:rsidRDefault="00522FB0">
      <w:pPr>
        <w:pStyle w:val="Paragrafoelenco"/>
        <w:numPr>
          <w:ilvl w:val="0"/>
          <w:numId w:val="3"/>
        </w:numPr>
        <w:spacing w:line="276" w:lineRule="auto"/>
        <w:ind w:left="357" w:hanging="357"/>
        <w:jc w:val="both"/>
        <w:rPr>
          <w:rFonts w:ascii="Arial" w:hAnsi="Arial" w:cs="Arial"/>
          <w:sz w:val="20"/>
          <w:szCs w:val="20"/>
        </w:rPr>
      </w:pPr>
      <w:r w:rsidRPr="00C66F03">
        <w:rPr>
          <w:rFonts w:ascii="Arial" w:hAnsi="Arial" w:cs="Arial"/>
          <w:sz w:val="20"/>
          <w:szCs w:val="20"/>
        </w:rPr>
        <w:t xml:space="preserve">Si chiede di evidenziare il contenuto innovativo della Vostra offerta in merito alla merceologia oggetto di indagine. Vi invitiamo ad indicare la presenza di nuovi prodotti o nuove soluzioni o nuovi servizi disponibili per eseguire le prestazioni oggetto dell’iniziativa con alto contenuto innovativo e forte impatto in termini di efficacia ed efficienza della soluzione proposta, di vantaggio o riduzione di impatti ambientali o sociali rivolti ai propri dipendenti, ai clienti o alla collettività. </w:t>
      </w:r>
    </w:p>
    <w:p w14:paraId="510D6BDF" w14:textId="77777777" w:rsidR="00DC69C7" w:rsidRPr="00C66F03" w:rsidRDefault="00DC69C7">
      <w:pPr>
        <w:pStyle w:val="Paragrafoelenco"/>
        <w:ind w:left="360"/>
        <w:rPr>
          <w:rFonts w:ascii="Arial" w:hAnsi="Arial" w:cs="Arial"/>
          <w:bCs/>
          <w:color w:val="0070C0"/>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384BE300" w14:textId="77777777">
        <w:trPr>
          <w:trHeight w:val="1106"/>
        </w:trPr>
        <w:tc>
          <w:tcPr>
            <w:tcW w:w="8494" w:type="dxa"/>
            <w:shd w:val="clear" w:color="auto" w:fill="F2F2F2" w:themeFill="background1" w:themeFillShade="F2"/>
          </w:tcPr>
          <w:p w14:paraId="0AF01B16" w14:textId="77777777" w:rsidR="00DC69C7" w:rsidRPr="00C66F03" w:rsidRDefault="00DC69C7">
            <w:pPr>
              <w:jc w:val="both"/>
              <w:rPr>
                <w:rFonts w:ascii="Arial" w:hAnsi="Arial" w:cs="Arial"/>
                <w:bCs/>
                <w:sz w:val="20"/>
                <w:szCs w:val="20"/>
              </w:rPr>
            </w:pPr>
          </w:p>
        </w:tc>
      </w:tr>
    </w:tbl>
    <w:p w14:paraId="52503FD4" w14:textId="77777777" w:rsidR="00DC69C7" w:rsidRPr="00C66F03" w:rsidRDefault="00DC69C7">
      <w:pPr>
        <w:rPr>
          <w:rFonts w:ascii="Arial" w:hAnsi="Arial" w:cs="Arial"/>
          <w:bCs/>
          <w:color w:val="0070C0"/>
          <w:sz w:val="20"/>
          <w:szCs w:val="20"/>
        </w:rPr>
      </w:pPr>
    </w:p>
    <w:p w14:paraId="6BAD9722" w14:textId="77777777" w:rsidR="00DC69C7" w:rsidRPr="00C66F03" w:rsidRDefault="00522FB0">
      <w:pPr>
        <w:pStyle w:val="Paragrafoelenco"/>
        <w:numPr>
          <w:ilvl w:val="0"/>
          <w:numId w:val="3"/>
        </w:numPr>
        <w:spacing w:line="276" w:lineRule="auto"/>
        <w:ind w:left="357" w:hanging="357"/>
        <w:jc w:val="both"/>
        <w:rPr>
          <w:rFonts w:ascii="Arial" w:hAnsi="Arial" w:cs="Arial"/>
          <w:sz w:val="20"/>
          <w:szCs w:val="20"/>
        </w:rPr>
      </w:pPr>
      <w:r w:rsidRPr="00C66F03">
        <w:rPr>
          <w:rFonts w:ascii="Arial" w:hAnsi="Arial" w:cs="Arial"/>
          <w:sz w:val="20"/>
          <w:szCs w:val="20"/>
        </w:rPr>
        <w:t>Descrivere le soluzioni e/o politiche aziendali adottate dall’Azienda per ridurre l’impatto ambientale in termini di dematerializzazione delle risorse (inclusa l’energia), riduzione o eliminazione delle sostanze pericolose, riduzione dei rifiuti in un’ottica di ciclo di vita.</w:t>
      </w:r>
    </w:p>
    <w:p w14:paraId="7D8BDB80" w14:textId="77777777" w:rsidR="00DC69C7" w:rsidRPr="00C66F03" w:rsidRDefault="00DC69C7">
      <w:pPr>
        <w:ind w:left="284"/>
        <w:jc w:val="both"/>
        <w:rPr>
          <w:rFonts w:ascii="Arial" w:hAnsi="Arial" w:cs="Arial"/>
          <w:i/>
          <w:color w:val="0000FF"/>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72339647" w14:textId="77777777">
        <w:trPr>
          <w:trHeight w:val="1824"/>
        </w:trPr>
        <w:tc>
          <w:tcPr>
            <w:tcW w:w="8494" w:type="dxa"/>
            <w:shd w:val="clear" w:color="auto" w:fill="F2F2F2" w:themeFill="background1" w:themeFillShade="F2"/>
          </w:tcPr>
          <w:p w14:paraId="7970A9EB" w14:textId="77777777" w:rsidR="00DC69C7" w:rsidRPr="00C66F03" w:rsidRDefault="00DC69C7">
            <w:pPr>
              <w:ind w:left="284"/>
              <w:jc w:val="both"/>
              <w:rPr>
                <w:rFonts w:ascii="Arial" w:hAnsi="Arial" w:cs="Arial"/>
                <w:bCs/>
                <w:sz w:val="20"/>
                <w:szCs w:val="20"/>
              </w:rPr>
            </w:pPr>
          </w:p>
        </w:tc>
      </w:tr>
    </w:tbl>
    <w:p w14:paraId="40191003" w14:textId="77777777" w:rsidR="000D1487" w:rsidRPr="00C66F03" w:rsidRDefault="000D1487" w:rsidP="000D1487">
      <w:pPr>
        <w:spacing w:line="360" w:lineRule="auto"/>
        <w:ind w:left="-76"/>
        <w:jc w:val="both"/>
        <w:rPr>
          <w:rFonts w:ascii="Arial" w:hAnsi="Arial" w:cs="Arial"/>
          <w:i/>
          <w:color w:val="000000"/>
          <w:sz w:val="20"/>
          <w:lang w:val="x-none"/>
        </w:rPr>
      </w:pPr>
    </w:p>
    <w:p w14:paraId="1C88246D" w14:textId="77777777" w:rsidR="00DC69C7" w:rsidRPr="00C66F03" w:rsidRDefault="00522FB0">
      <w:pPr>
        <w:pStyle w:val="Paragrafoelenco"/>
        <w:numPr>
          <w:ilvl w:val="0"/>
          <w:numId w:val="3"/>
        </w:numPr>
        <w:spacing w:line="276" w:lineRule="auto"/>
        <w:ind w:left="357" w:hanging="357"/>
        <w:jc w:val="both"/>
        <w:rPr>
          <w:rFonts w:ascii="Arial" w:hAnsi="Arial" w:cs="Arial"/>
          <w:sz w:val="20"/>
          <w:szCs w:val="20"/>
        </w:rPr>
      </w:pPr>
      <w:r w:rsidRPr="00C66F03">
        <w:rPr>
          <w:rFonts w:ascii="Arial" w:hAnsi="Arial" w:cs="Arial"/>
          <w:sz w:val="20"/>
          <w:szCs w:val="20"/>
        </w:rPr>
        <w:t>Ove possibile, descrivere le politiche dell’Azienda in termini di benefici per i propri dipendenti, per i clienti e la collettività, anche in termini di inclusione sociale.</w:t>
      </w:r>
    </w:p>
    <w:p w14:paraId="2DEA1B34" w14:textId="77777777" w:rsidR="000D1487" w:rsidRPr="00C66F03" w:rsidRDefault="000D1487" w:rsidP="000D1487">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C66F03" w14:paraId="05691087" w14:textId="77777777">
        <w:trPr>
          <w:trHeight w:val="1824"/>
        </w:trPr>
        <w:tc>
          <w:tcPr>
            <w:tcW w:w="8494" w:type="dxa"/>
            <w:shd w:val="clear" w:color="auto" w:fill="F2F2F2" w:themeFill="background1" w:themeFillShade="F2"/>
          </w:tcPr>
          <w:p w14:paraId="092256D0" w14:textId="77777777" w:rsidR="00DC69C7" w:rsidRPr="00C66F03" w:rsidRDefault="00DC69C7">
            <w:pPr>
              <w:ind w:left="284"/>
              <w:jc w:val="both"/>
              <w:rPr>
                <w:rFonts w:ascii="Arial" w:hAnsi="Arial" w:cs="Arial"/>
                <w:bCs/>
                <w:sz w:val="20"/>
                <w:szCs w:val="20"/>
              </w:rPr>
            </w:pPr>
          </w:p>
        </w:tc>
      </w:tr>
    </w:tbl>
    <w:p w14:paraId="2AABCFE7" w14:textId="77777777" w:rsidR="00DC69C7" w:rsidRPr="00C66F03" w:rsidRDefault="00522FB0">
      <w:pPr>
        <w:rPr>
          <w:rFonts w:ascii="Arial" w:hAnsi="Arial" w:cs="Arial"/>
          <w:bCs/>
          <w:color w:val="0070C0"/>
          <w:sz w:val="20"/>
          <w:szCs w:val="20"/>
        </w:rPr>
      </w:pPr>
      <w:r w:rsidRPr="00C66F03">
        <w:rPr>
          <w:rFonts w:ascii="Arial" w:hAnsi="Arial" w:cs="Arial"/>
          <w:bCs/>
          <w:color w:val="0070C0"/>
          <w:sz w:val="20"/>
          <w:szCs w:val="20"/>
        </w:rPr>
        <w:t xml:space="preserve">. </w:t>
      </w:r>
    </w:p>
    <w:p w14:paraId="1C53A7FD" w14:textId="77777777" w:rsidR="00DC69C7" w:rsidRPr="00C66F03" w:rsidRDefault="00DC69C7">
      <w:pPr>
        <w:pStyle w:val="Paragrafoelenco"/>
        <w:ind w:left="360"/>
        <w:jc w:val="both"/>
        <w:rPr>
          <w:rFonts w:ascii="Arial" w:hAnsi="Arial" w:cs="Arial"/>
          <w:color w:val="0070C0"/>
          <w:sz w:val="20"/>
          <w:szCs w:val="20"/>
        </w:rPr>
      </w:pPr>
    </w:p>
    <w:p w14:paraId="2675B852" w14:textId="361336C4" w:rsidR="002E4193" w:rsidRPr="00C75AD7" w:rsidRDefault="005271E1">
      <w:pPr>
        <w:pStyle w:val="Paragrafoelenco"/>
        <w:numPr>
          <w:ilvl w:val="0"/>
          <w:numId w:val="3"/>
        </w:numPr>
        <w:spacing w:line="276" w:lineRule="auto"/>
        <w:ind w:left="357" w:hanging="357"/>
        <w:jc w:val="both"/>
        <w:rPr>
          <w:rFonts w:ascii="Arial" w:hAnsi="Arial" w:cs="Arial"/>
          <w:sz w:val="20"/>
          <w:szCs w:val="20"/>
        </w:rPr>
      </w:pPr>
      <w:r w:rsidRPr="00C66F03">
        <w:rPr>
          <w:rFonts w:ascii="Arial" w:hAnsi="Arial" w:cs="Arial"/>
          <w:sz w:val="20"/>
          <w:szCs w:val="20"/>
        </w:rPr>
        <w:t>[R</w:t>
      </w:r>
      <w:proofErr w:type="gramStart"/>
      <w:r w:rsidRPr="00C66F03">
        <w:rPr>
          <w:rFonts w:ascii="Arial" w:hAnsi="Arial" w:cs="Arial"/>
          <w:sz w:val="20"/>
          <w:szCs w:val="20"/>
        </w:rPr>
        <w:t>1]/</w:t>
      </w:r>
      <w:proofErr w:type="gramEnd"/>
      <w:r w:rsidR="002E4193" w:rsidRPr="00C75AD7">
        <w:rPr>
          <w:rFonts w:ascii="Arial" w:hAnsi="Arial" w:cs="Arial"/>
          <w:sz w:val="20"/>
          <w:szCs w:val="20"/>
        </w:rPr>
        <w:t>[R1</w:t>
      </w:r>
      <w:r w:rsidRPr="00C66F03">
        <w:rPr>
          <w:rFonts w:ascii="Arial" w:hAnsi="Arial" w:cs="Arial"/>
          <w:sz w:val="20"/>
          <w:szCs w:val="20"/>
        </w:rPr>
        <w:t>4</w:t>
      </w:r>
      <w:r w:rsidR="002E4193" w:rsidRPr="00C75AD7">
        <w:rPr>
          <w:rFonts w:ascii="Arial" w:hAnsi="Arial" w:cs="Arial"/>
          <w:sz w:val="20"/>
          <w:szCs w:val="20"/>
        </w:rPr>
        <w:t>] L’Azienda ha sedi operative, e non meramente commerciali, sul territorio italiano, indispensabile per consentire una continuità di rapporti diretti? Indicare le sedi operative.</w:t>
      </w:r>
    </w:p>
    <w:p w14:paraId="6FA0A3C5" w14:textId="77777777" w:rsidR="00C21D5E" w:rsidRPr="00C75AD7" w:rsidRDefault="00C21D5E" w:rsidP="00C75AD7">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21D5E" w:rsidRPr="00C66F03" w14:paraId="21D4DA48" w14:textId="77777777" w:rsidTr="00226CF1">
        <w:trPr>
          <w:trHeight w:val="1824"/>
        </w:trPr>
        <w:tc>
          <w:tcPr>
            <w:tcW w:w="8494" w:type="dxa"/>
            <w:shd w:val="clear" w:color="auto" w:fill="F2F2F2" w:themeFill="background1" w:themeFillShade="F2"/>
          </w:tcPr>
          <w:p w14:paraId="00B7AF83" w14:textId="77777777" w:rsidR="00C21D5E" w:rsidRPr="00C66F03" w:rsidRDefault="00C21D5E" w:rsidP="00226CF1">
            <w:pPr>
              <w:ind w:left="284"/>
              <w:jc w:val="both"/>
              <w:rPr>
                <w:rFonts w:ascii="Arial" w:hAnsi="Arial" w:cs="Arial"/>
                <w:bCs/>
                <w:sz w:val="20"/>
                <w:szCs w:val="20"/>
              </w:rPr>
            </w:pPr>
          </w:p>
        </w:tc>
      </w:tr>
    </w:tbl>
    <w:p w14:paraId="7ECB9BBA" w14:textId="620EAFA5" w:rsidR="002E4193" w:rsidRPr="00C75AD7" w:rsidRDefault="002E4193">
      <w:pPr>
        <w:pStyle w:val="Paragrafoelenco"/>
        <w:numPr>
          <w:ilvl w:val="0"/>
          <w:numId w:val="3"/>
        </w:numPr>
        <w:spacing w:line="276" w:lineRule="auto"/>
        <w:ind w:left="357" w:hanging="357"/>
        <w:jc w:val="both"/>
        <w:rPr>
          <w:rFonts w:ascii="Arial" w:hAnsi="Arial" w:cs="Arial"/>
          <w:sz w:val="20"/>
          <w:szCs w:val="20"/>
        </w:rPr>
      </w:pPr>
      <w:r w:rsidRPr="00C75AD7">
        <w:rPr>
          <w:rFonts w:ascii="Arial" w:hAnsi="Arial" w:cs="Arial"/>
          <w:sz w:val="20"/>
          <w:szCs w:val="20"/>
        </w:rPr>
        <w:t>[R9] Specificare se le attività di supporto per le figure manageriali di Sogei, nelle modalità indicate sopra, rientra</w:t>
      </w:r>
      <w:r w:rsidR="005271E1" w:rsidRPr="00C66F03">
        <w:rPr>
          <w:rFonts w:ascii="Arial" w:hAnsi="Arial" w:cs="Arial"/>
          <w:sz w:val="20"/>
          <w:szCs w:val="20"/>
        </w:rPr>
        <w:t>no</w:t>
      </w:r>
      <w:r w:rsidRPr="00C75AD7">
        <w:rPr>
          <w:rFonts w:ascii="Arial" w:hAnsi="Arial" w:cs="Arial"/>
          <w:sz w:val="20"/>
          <w:szCs w:val="20"/>
        </w:rPr>
        <w:t xml:space="preserve"> </w:t>
      </w:r>
      <w:r w:rsidR="005271E1" w:rsidRPr="00C66F03">
        <w:rPr>
          <w:rFonts w:ascii="Arial" w:hAnsi="Arial" w:cs="Arial"/>
          <w:sz w:val="20"/>
          <w:szCs w:val="20"/>
        </w:rPr>
        <w:t xml:space="preserve">tra quelle </w:t>
      </w:r>
      <w:r w:rsidRPr="00C75AD7">
        <w:rPr>
          <w:rFonts w:ascii="Arial" w:hAnsi="Arial" w:cs="Arial"/>
          <w:sz w:val="20"/>
          <w:szCs w:val="20"/>
        </w:rPr>
        <w:t>della vostra azienda. 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78108072" w14:textId="77777777" w:rsidTr="00094E41">
        <w:trPr>
          <w:trHeight w:val="1824"/>
        </w:trPr>
        <w:tc>
          <w:tcPr>
            <w:tcW w:w="8494" w:type="dxa"/>
            <w:shd w:val="clear" w:color="auto" w:fill="F2F2F2" w:themeFill="background1" w:themeFillShade="F2"/>
          </w:tcPr>
          <w:p w14:paraId="3AFF87FB" w14:textId="77777777" w:rsidR="002E4193" w:rsidRPr="00C75AD7" w:rsidRDefault="002E4193" w:rsidP="00094E41">
            <w:pPr>
              <w:jc w:val="both"/>
              <w:rPr>
                <w:rFonts w:ascii="Arial" w:hAnsi="Arial" w:cs="Arial"/>
                <w:bCs/>
                <w:sz w:val="20"/>
                <w:szCs w:val="20"/>
              </w:rPr>
            </w:pPr>
          </w:p>
        </w:tc>
      </w:tr>
    </w:tbl>
    <w:p w14:paraId="7B29A00D" w14:textId="6E47ECA9" w:rsidR="002E4193" w:rsidRPr="00C75AD7" w:rsidRDefault="002E4193">
      <w:pPr>
        <w:pStyle w:val="Paragrafoelenco"/>
        <w:numPr>
          <w:ilvl w:val="0"/>
          <w:numId w:val="3"/>
        </w:numPr>
        <w:spacing w:line="276" w:lineRule="auto"/>
        <w:ind w:left="357" w:hanging="357"/>
        <w:jc w:val="both"/>
        <w:rPr>
          <w:rFonts w:ascii="Arial" w:hAnsi="Arial" w:cs="Arial"/>
          <w:sz w:val="20"/>
          <w:szCs w:val="20"/>
        </w:rPr>
      </w:pPr>
      <w:r w:rsidRPr="00C75AD7">
        <w:rPr>
          <w:rFonts w:ascii="Arial" w:hAnsi="Arial" w:cs="Arial"/>
          <w:sz w:val="20"/>
          <w:szCs w:val="20"/>
        </w:rPr>
        <w:t>[R</w:t>
      </w:r>
      <w:proofErr w:type="gramStart"/>
      <w:r w:rsidR="008806F8" w:rsidRPr="00C66F03">
        <w:rPr>
          <w:rFonts w:ascii="Arial" w:hAnsi="Arial" w:cs="Arial"/>
          <w:sz w:val="20"/>
          <w:szCs w:val="20"/>
        </w:rPr>
        <w:t>2</w:t>
      </w:r>
      <w:r w:rsidRPr="00C75AD7">
        <w:rPr>
          <w:rFonts w:ascii="Arial" w:hAnsi="Arial" w:cs="Arial"/>
          <w:sz w:val="20"/>
          <w:szCs w:val="20"/>
        </w:rPr>
        <w:t>]</w:t>
      </w:r>
      <w:r w:rsidR="008806F8" w:rsidRPr="00C66F03">
        <w:rPr>
          <w:rFonts w:ascii="Arial" w:hAnsi="Arial" w:cs="Arial"/>
          <w:sz w:val="20"/>
          <w:szCs w:val="20"/>
        </w:rPr>
        <w:t>/</w:t>
      </w:r>
      <w:proofErr w:type="gramEnd"/>
      <w:r w:rsidR="008806F8" w:rsidRPr="00C66F03">
        <w:rPr>
          <w:rFonts w:ascii="Arial" w:hAnsi="Arial" w:cs="Arial"/>
          <w:sz w:val="20"/>
          <w:szCs w:val="20"/>
        </w:rPr>
        <w:t>[R3]</w:t>
      </w:r>
      <w:r w:rsidRPr="00C75AD7">
        <w:rPr>
          <w:rFonts w:ascii="Arial" w:hAnsi="Arial" w:cs="Arial"/>
          <w:sz w:val="20"/>
          <w:szCs w:val="20"/>
        </w:rPr>
        <w:t xml:space="preserve"> L’accesso al portale della banca dati permette la personalizzazione della “home page” a seconda dei ruoli svolti dall’utente?</w:t>
      </w:r>
    </w:p>
    <w:p w14:paraId="53C19DBD" w14:textId="77777777" w:rsidR="002E4193" w:rsidRPr="00C75AD7" w:rsidRDefault="002E4193" w:rsidP="002E4193">
      <w:pPr>
        <w:pStyle w:val="Paragrafoelenco"/>
        <w:spacing w:line="276" w:lineRule="auto"/>
        <w:ind w:left="360"/>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6E7B8ACC" w14:textId="77777777" w:rsidTr="00094E41">
        <w:trPr>
          <w:trHeight w:val="1344"/>
        </w:trPr>
        <w:tc>
          <w:tcPr>
            <w:tcW w:w="8494" w:type="dxa"/>
            <w:shd w:val="clear" w:color="auto" w:fill="F2F2F2" w:themeFill="background1" w:themeFillShade="F2"/>
          </w:tcPr>
          <w:p w14:paraId="45CD4276" w14:textId="77777777" w:rsidR="002E4193" w:rsidRPr="00C75AD7" w:rsidRDefault="002E4193" w:rsidP="00094E41">
            <w:pPr>
              <w:ind w:left="284"/>
              <w:jc w:val="both"/>
              <w:rPr>
                <w:rFonts w:ascii="Arial" w:hAnsi="Arial" w:cs="Arial"/>
                <w:bCs/>
                <w:sz w:val="20"/>
                <w:szCs w:val="20"/>
              </w:rPr>
            </w:pPr>
          </w:p>
        </w:tc>
      </w:tr>
    </w:tbl>
    <w:p w14:paraId="14889D76" w14:textId="77777777" w:rsidR="002E4193" w:rsidRPr="00C75AD7" w:rsidRDefault="002E4193" w:rsidP="002E4193">
      <w:pPr>
        <w:jc w:val="both"/>
        <w:rPr>
          <w:rFonts w:ascii="Arial" w:hAnsi="Arial" w:cs="Arial"/>
          <w:sz w:val="20"/>
          <w:szCs w:val="20"/>
        </w:rPr>
      </w:pPr>
    </w:p>
    <w:p w14:paraId="2463F253" w14:textId="4A2E463B" w:rsidR="002E4193" w:rsidRPr="00C75AD7" w:rsidRDefault="008806F8">
      <w:pPr>
        <w:numPr>
          <w:ilvl w:val="0"/>
          <w:numId w:val="3"/>
        </w:numPr>
        <w:jc w:val="both"/>
        <w:rPr>
          <w:rFonts w:ascii="Arial" w:hAnsi="Arial" w:cs="Arial"/>
          <w:sz w:val="20"/>
          <w:szCs w:val="20"/>
        </w:rPr>
      </w:pPr>
      <w:r w:rsidRPr="00C66F03">
        <w:rPr>
          <w:rFonts w:ascii="Arial" w:hAnsi="Arial" w:cs="Arial"/>
          <w:sz w:val="20"/>
          <w:szCs w:val="20"/>
        </w:rPr>
        <w:t>[R</w:t>
      </w:r>
      <w:proofErr w:type="gramStart"/>
      <w:r w:rsidRPr="00C66F03">
        <w:rPr>
          <w:rFonts w:ascii="Arial" w:hAnsi="Arial" w:cs="Arial"/>
          <w:sz w:val="20"/>
          <w:szCs w:val="20"/>
        </w:rPr>
        <w:t>2]/</w:t>
      </w:r>
      <w:proofErr w:type="gramEnd"/>
      <w:r w:rsidRPr="00C66F03">
        <w:rPr>
          <w:rFonts w:ascii="Arial" w:hAnsi="Arial" w:cs="Arial"/>
          <w:sz w:val="20"/>
          <w:szCs w:val="20"/>
        </w:rPr>
        <w:t xml:space="preserve">[R3] </w:t>
      </w:r>
      <w:r w:rsidR="002E4193" w:rsidRPr="00C75AD7">
        <w:rPr>
          <w:rFonts w:ascii="Arial" w:hAnsi="Arial" w:cs="Arial"/>
          <w:sz w:val="20"/>
          <w:szCs w:val="20"/>
        </w:rPr>
        <w:t>L’accesso al portale della banca dati permette l’accesso sia alle banche dati ICT, HR e Finance contemporaneamente come unico punto di accesso?</w:t>
      </w:r>
    </w:p>
    <w:p w14:paraId="181AC6C7" w14:textId="77777777" w:rsidR="002E4193" w:rsidRPr="00C75AD7" w:rsidRDefault="002E4193" w:rsidP="002E4193">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3773BCDF" w14:textId="77777777" w:rsidTr="00094E41">
        <w:trPr>
          <w:trHeight w:val="1271"/>
        </w:trPr>
        <w:tc>
          <w:tcPr>
            <w:tcW w:w="8494" w:type="dxa"/>
            <w:shd w:val="clear" w:color="auto" w:fill="F2F2F2" w:themeFill="background1" w:themeFillShade="F2"/>
          </w:tcPr>
          <w:p w14:paraId="56488719" w14:textId="77777777" w:rsidR="002E4193" w:rsidRPr="00C75AD7" w:rsidRDefault="002E4193" w:rsidP="00094E41">
            <w:pPr>
              <w:ind w:left="284"/>
              <w:jc w:val="both"/>
              <w:rPr>
                <w:rFonts w:ascii="Arial" w:hAnsi="Arial" w:cs="Arial"/>
                <w:bCs/>
                <w:sz w:val="20"/>
                <w:szCs w:val="20"/>
              </w:rPr>
            </w:pPr>
          </w:p>
        </w:tc>
      </w:tr>
    </w:tbl>
    <w:p w14:paraId="6E219B57" w14:textId="77777777" w:rsidR="002E4193" w:rsidRPr="00C75AD7" w:rsidRDefault="002E4193" w:rsidP="002E4193">
      <w:pPr>
        <w:jc w:val="both"/>
        <w:rPr>
          <w:rFonts w:ascii="Arial" w:hAnsi="Arial" w:cs="Arial"/>
          <w:sz w:val="20"/>
          <w:szCs w:val="20"/>
        </w:rPr>
      </w:pPr>
    </w:p>
    <w:p w14:paraId="04C04605" w14:textId="6CF9E3A7" w:rsidR="002E4193" w:rsidRPr="00C75AD7" w:rsidRDefault="008806F8">
      <w:pPr>
        <w:numPr>
          <w:ilvl w:val="0"/>
          <w:numId w:val="3"/>
        </w:numPr>
        <w:jc w:val="both"/>
        <w:rPr>
          <w:rFonts w:ascii="Arial" w:hAnsi="Arial" w:cs="Arial"/>
          <w:sz w:val="20"/>
          <w:szCs w:val="20"/>
        </w:rPr>
      </w:pPr>
      <w:r w:rsidRPr="00C66F03">
        <w:rPr>
          <w:rFonts w:ascii="Arial" w:hAnsi="Arial" w:cs="Arial"/>
          <w:sz w:val="20"/>
          <w:szCs w:val="20"/>
        </w:rPr>
        <w:t>[R</w:t>
      </w:r>
      <w:proofErr w:type="gramStart"/>
      <w:r w:rsidRPr="00C66F03">
        <w:rPr>
          <w:rFonts w:ascii="Arial" w:hAnsi="Arial" w:cs="Arial"/>
          <w:sz w:val="20"/>
          <w:szCs w:val="20"/>
        </w:rPr>
        <w:t>2]/</w:t>
      </w:r>
      <w:proofErr w:type="gramEnd"/>
      <w:r w:rsidRPr="00C66F03">
        <w:rPr>
          <w:rFonts w:ascii="Arial" w:hAnsi="Arial" w:cs="Arial"/>
          <w:sz w:val="20"/>
          <w:szCs w:val="20"/>
        </w:rPr>
        <w:t xml:space="preserve">[R3] </w:t>
      </w:r>
      <w:r w:rsidR="002E4193" w:rsidRPr="00C75AD7">
        <w:rPr>
          <w:rFonts w:ascii="Arial" w:hAnsi="Arial" w:cs="Arial"/>
          <w:sz w:val="20"/>
          <w:szCs w:val="20"/>
        </w:rPr>
        <w:t>Il motore di ricerca della banca</w:t>
      </w:r>
      <w:r w:rsidR="00F224A7" w:rsidRPr="00C66F03">
        <w:rPr>
          <w:rFonts w:ascii="Arial" w:hAnsi="Arial" w:cs="Arial"/>
          <w:sz w:val="20"/>
          <w:szCs w:val="20"/>
        </w:rPr>
        <w:t xml:space="preserve"> dati</w:t>
      </w:r>
      <w:r w:rsidR="002E4193" w:rsidRPr="00C75AD7">
        <w:rPr>
          <w:rFonts w:ascii="Arial" w:hAnsi="Arial" w:cs="Arial"/>
          <w:sz w:val="20"/>
          <w:szCs w:val="20"/>
        </w:rPr>
        <w:t xml:space="preserve"> integrato nel portale permette la personalizzazione di contenuti basati su comportamento di accesso e/o di lettura dei documenti? </w:t>
      </w:r>
    </w:p>
    <w:p w14:paraId="394822E2" w14:textId="77777777" w:rsidR="002E4193" w:rsidRPr="00C75AD7" w:rsidRDefault="002E4193" w:rsidP="002E4193">
      <w:pPr>
        <w:rPr>
          <w:rFonts w:ascii="Arial" w:hAnsi="Arial" w:cs="Arial"/>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7FC5E21D" w14:textId="77777777" w:rsidTr="00094E41">
        <w:trPr>
          <w:trHeight w:val="1036"/>
        </w:trPr>
        <w:tc>
          <w:tcPr>
            <w:tcW w:w="8494" w:type="dxa"/>
            <w:shd w:val="clear" w:color="auto" w:fill="F2F2F2" w:themeFill="background1" w:themeFillShade="F2"/>
          </w:tcPr>
          <w:p w14:paraId="1F6EFBFD" w14:textId="77777777" w:rsidR="002E4193" w:rsidRPr="00C75AD7" w:rsidRDefault="002E4193" w:rsidP="00094E41">
            <w:pPr>
              <w:rPr>
                <w:rFonts w:ascii="Arial" w:hAnsi="Arial" w:cs="Arial"/>
              </w:rPr>
            </w:pPr>
          </w:p>
        </w:tc>
      </w:tr>
    </w:tbl>
    <w:p w14:paraId="65805E21" w14:textId="77777777" w:rsidR="002E4193" w:rsidRPr="00C75AD7" w:rsidRDefault="002E4193" w:rsidP="002E4193">
      <w:pPr>
        <w:rPr>
          <w:rFonts w:ascii="Arial" w:hAnsi="Arial" w:cs="Arial"/>
        </w:rPr>
      </w:pPr>
    </w:p>
    <w:p w14:paraId="1D35A534" w14:textId="7B9195EC" w:rsidR="002E4193" w:rsidRPr="00C75AD7" w:rsidRDefault="008806F8">
      <w:pPr>
        <w:numPr>
          <w:ilvl w:val="0"/>
          <w:numId w:val="3"/>
        </w:numPr>
        <w:jc w:val="both"/>
        <w:rPr>
          <w:rFonts w:ascii="Arial" w:hAnsi="Arial" w:cs="Arial"/>
          <w:sz w:val="20"/>
          <w:szCs w:val="20"/>
        </w:rPr>
      </w:pPr>
      <w:r w:rsidRPr="00C66F03">
        <w:rPr>
          <w:rFonts w:ascii="Arial" w:hAnsi="Arial" w:cs="Arial"/>
          <w:sz w:val="20"/>
          <w:szCs w:val="20"/>
        </w:rPr>
        <w:t>[R</w:t>
      </w:r>
      <w:proofErr w:type="gramStart"/>
      <w:r w:rsidRPr="00C66F03">
        <w:rPr>
          <w:rFonts w:ascii="Arial" w:hAnsi="Arial" w:cs="Arial"/>
          <w:sz w:val="20"/>
          <w:szCs w:val="20"/>
        </w:rPr>
        <w:t>2]/</w:t>
      </w:r>
      <w:proofErr w:type="gramEnd"/>
      <w:r w:rsidRPr="00C66F03">
        <w:rPr>
          <w:rFonts w:ascii="Arial" w:hAnsi="Arial" w:cs="Arial"/>
          <w:sz w:val="20"/>
          <w:szCs w:val="20"/>
        </w:rPr>
        <w:t>[R3</w:t>
      </w:r>
      <w:proofErr w:type="gramStart"/>
      <w:r w:rsidRPr="00C66F03">
        <w:rPr>
          <w:rFonts w:ascii="Arial" w:hAnsi="Arial" w:cs="Arial"/>
          <w:sz w:val="20"/>
          <w:szCs w:val="20"/>
        </w:rPr>
        <w:t xml:space="preserve">] </w:t>
      </w:r>
      <w:r w:rsidR="002E4193" w:rsidRPr="00C75AD7">
        <w:rPr>
          <w:rFonts w:ascii="Arial" w:hAnsi="Arial" w:cs="Arial"/>
          <w:sz w:val="20"/>
          <w:szCs w:val="20"/>
        </w:rPr>
        <w:t xml:space="preserve"> Il</w:t>
      </w:r>
      <w:proofErr w:type="gramEnd"/>
      <w:r w:rsidR="002E4193" w:rsidRPr="00C75AD7">
        <w:rPr>
          <w:rFonts w:ascii="Arial" w:hAnsi="Arial" w:cs="Arial"/>
          <w:sz w:val="20"/>
          <w:szCs w:val="20"/>
        </w:rPr>
        <w:t xml:space="preserve"> motore di ricerca della banca dati ICT, integrato nel portale permette la personalizzazione di contenuti basati su comportamento di accesso e/o di lettura dei </w:t>
      </w:r>
      <w:proofErr w:type="gramStart"/>
      <w:r w:rsidR="002E4193" w:rsidRPr="00C75AD7">
        <w:rPr>
          <w:rFonts w:ascii="Arial" w:hAnsi="Arial" w:cs="Arial"/>
          <w:sz w:val="20"/>
          <w:szCs w:val="20"/>
        </w:rPr>
        <w:t>documenti ?</w:t>
      </w:r>
      <w:proofErr w:type="gramEnd"/>
      <w:r w:rsidR="002E4193" w:rsidRPr="00C75AD7">
        <w:rPr>
          <w:rFonts w:ascii="Arial" w:hAnsi="Arial" w:cs="Arial"/>
          <w:sz w:val="20"/>
          <w:szCs w:val="20"/>
        </w:rPr>
        <w:t xml:space="preserve"> </w:t>
      </w:r>
    </w:p>
    <w:p w14:paraId="32C36C56" w14:textId="77777777" w:rsidR="002E4193" w:rsidRPr="00C75AD7" w:rsidRDefault="002E4193" w:rsidP="002E4193">
      <w:pPr>
        <w:rPr>
          <w:rFonts w:ascii="Arial" w:hAnsi="Arial" w:cs="Arial"/>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7BB4AB85" w14:textId="77777777" w:rsidTr="00094E41">
        <w:trPr>
          <w:trHeight w:val="1125"/>
        </w:trPr>
        <w:tc>
          <w:tcPr>
            <w:tcW w:w="8494" w:type="dxa"/>
            <w:shd w:val="clear" w:color="auto" w:fill="F2F2F2" w:themeFill="background1" w:themeFillShade="F2"/>
          </w:tcPr>
          <w:p w14:paraId="0E1FF989" w14:textId="77777777" w:rsidR="002E4193" w:rsidRPr="00C75AD7" w:rsidRDefault="002E4193" w:rsidP="00094E41">
            <w:pPr>
              <w:ind w:left="284"/>
              <w:jc w:val="both"/>
              <w:rPr>
                <w:rFonts w:ascii="Arial" w:hAnsi="Arial" w:cs="Arial"/>
                <w:bCs/>
                <w:sz w:val="20"/>
                <w:szCs w:val="20"/>
              </w:rPr>
            </w:pPr>
          </w:p>
        </w:tc>
      </w:tr>
    </w:tbl>
    <w:p w14:paraId="5D251AB4" w14:textId="77777777" w:rsidR="002E4193" w:rsidRPr="00C75AD7" w:rsidRDefault="002E4193" w:rsidP="002E4193">
      <w:pPr>
        <w:rPr>
          <w:rFonts w:ascii="Arial" w:hAnsi="Arial" w:cs="Arial"/>
        </w:rPr>
      </w:pPr>
    </w:p>
    <w:p w14:paraId="1369A930" w14:textId="67B7B363" w:rsidR="002E4193" w:rsidRPr="00C75AD7" w:rsidRDefault="008806F8">
      <w:pPr>
        <w:numPr>
          <w:ilvl w:val="0"/>
          <w:numId w:val="3"/>
        </w:numPr>
        <w:jc w:val="both"/>
        <w:rPr>
          <w:rFonts w:ascii="Arial" w:hAnsi="Arial" w:cs="Arial"/>
          <w:sz w:val="20"/>
          <w:szCs w:val="20"/>
        </w:rPr>
      </w:pPr>
      <w:r w:rsidRPr="00C66F03">
        <w:rPr>
          <w:rFonts w:ascii="Arial" w:hAnsi="Arial" w:cs="Arial"/>
          <w:sz w:val="20"/>
          <w:szCs w:val="20"/>
        </w:rPr>
        <w:t>[R</w:t>
      </w:r>
      <w:proofErr w:type="gramStart"/>
      <w:r w:rsidRPr="00C66F03">
        <w:rPr>
          <w:rFonts w:ascii="Arial" w:hAnsi="Arial" w:cs="Arial"/>
          <w:sz w:val="20"/>
          <w:szCs w:val="20"/>
        </w:rPr>
        <w:t>2]/</w:t>
      </w:r>
      <w:proofErr w:type="gramEnd"/>
      <w:r w:rsidRPr="00C66F03">
        <w:rPr>
          <w:rFonts w:ascii="Arial" w:hAnsi="Arial" w:cs="Arial"/>
          <w:sz w:val="20"/>
          <w:szCs w:val="20"/>
        </w:rPr>
        <w:t xml:space="preserve">[R3] </w:t>
      </w:r>
      <w:r w:rsidR="002E4193" w:rsidRPr="00C75AD7">
        <w:rPr>
          <w:rFonts w:ascii="Arial" w:hAnsi="Arial" w:cs="Arial"/>
          <w:sz w:val="20"/>
          <w:szCs w:val="20"/>
        </w:rPr>
        <w:t xml:space="preserve">All’interno del portale esiste un motore di </w:t>
      </w:r>
      <w:proofErr w:type="spellStart"/>
      <w:r w:rsidR="002E4193" w:rsidRPr="00C75AD7">
        <w:rPr>
          <w:rFonts w:ascii="Arial" w:hAnsi="Arial" w:cs="Arial"/>
          <w:sz w:val="20"/>
          <w:szCs w:val="20"/>
        </w:rPr>
        <w:t>alerting</w:t>
      </w:r>
      <w:proofErr w:type="spellEnd"/>
      <w:r w:rsidR="002E4193" w:rsidRPr="00C75AD7">
        <w:rPr>
          <w:rFonts w:ascii="Arial" w:hAnsi="Arial" w:cs="Arial"/>
          <w:sz w:val="20"/>
          <w:szCs w:val="20"/>
        </w:rPr>
        <w:t xml:space="preserve">, basato su iniziative e criteri personalizzabili, che avvisa l’utente sulla nuova ricerca </w:t>
      </w:r>
      <w:r w:rsidR="00BD2EB1" w:rsidRPr="00C75AD7">
        <w:rPr>
          <w:rFonts w:ascii="Arial" w:hAnsi="Arial" w:cs="Arial"/>
          <w:sz w:val="20"/>
          <w:szCs w:val="20"/>
        </w:rPr>
        <w:t>disponibile?</w:t>
      </w:r>
    </w:p>
    <w:p w14:paraId="528E07ED" w14:textId="77777777" w:rsidR="002E4193" w:rsidRPr="00C75AD7" w:rsidRDefault="002E4193" w:rsidP="002E4193">
      <w:pPr>
        <w:rPr>
          <w:rFonts w:ascii="Arial" w:hAnsi="Arial" w:cs="Arial"/>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110AFC2C" w14:textId="77777777" w:rsidTr="00094E41">
        <w:trPr>
          <w:trHeight w:val="1088"/>
        </w:trPr>
        <w:tc>
          <w:tcPr>
            <w:tcW w:w="8494" w:type="dxa"/>
            <w:shd w:val="clear" w:color="auto" w:fill="F2F2F2" w:themeFill="background1" w:themeFillShade="F2"/>
          </w:tcPr>
          <w:p w14:paraId="2DD2F4ED" w14:textId="77777777" w:rsidR="002E4193" w:rsidRPr="00C75AD7" w:rsidRDefault="002E4193" w:rsidP="00094E41">
            <w:pPr>
              <w:ind w:left="360"/>
              <w:jc w:val="both"/>
              <w:rPr>
                <w:rFonts w:ascii="Arial" w:hAnsi="Arial" w:cs="Arial"/>
                <w:color w:val="000000"/>
                <w:sz w:val="20"/>
                <w:szCs w:val="20"/>
              </w:rPr>
            </w:pPr>
          </w:p>
        </w:tc>
      </w:tr>
    </w:tbl>
    <w:p w14:paraId="6D78CFD1" w14:textId="77777777" w:rsidR="002E4193" w:rsidRPr="00C75AD7" w:rsidRDefault="002E4193" w:rsidP="002E4193">
      <w:pPr>
        <w:ind w:left="360"/>
        <w:jc w:val="both"/>
        <w:rPr>
          <w:rFonts w:ascii="Arial" w:hAnsi="Arial" w:cs="Arial"/>
          <w:color w:val="000000"/>
          <w:sz w:val="20"/>
          <w:szCs w:val="20"/>
        </w:rPr>
      </w:pPr>
    </w:p>
    <w:p w14:paraId="4094E2A8" w14:textId="278B3C4D" w:rsidR="002E4193" w:rsidRPr="00C75AD7" w:rsidRDefault="008806F8">
      <w:pPr>
        <w:numPr>
          <w:ilvl w:val="0"/>
          <w:numId w:val="3"/>
        </w:numPr>
        <w:jc w:val="both"/>
        <w:rPr>
          <w:rFonts w:ascii="Arial" w:hAnsi="Arial" w:cs="Arial"/>
          <w:sz w:val="20"/>
          <w:szCs w:val="20"/>
        </w:rPr>
      </w:pPr>
      <w:r w:rsidRPr="00C66F03">
        <w:rPr>
          <w:rFonts w:ascii="Arial" w:hAnsi="Arial" w:cs="Arial"/>
          <w:sz w:val="20"/>
          <w:szCs w:val="20"/>
        </w:rPr>
        <w:t>[R</w:t>
      </w:r>
      <w:proofErr w:type="gramStart"/>
      <w:r w:rsidRPr="00C66F03">
        <w:rPr>
          <w:rFonts w:ascii="Arial" w:hAnsi="Arial" w:cs="Arial"/>
          <w:sz w:val="20"/>
          <w:szCs w:val="20"/>
        </w:rPr>
        <w:t>2]/</w:t>
      </w:r>
      <w:proofErr w:type="gramEnd"/>
      <w:r w:rsidRPr="00C66F03">
        <w:rPr>
          <w:rFonts w:ascii="Arial" w:hAnsi="Arial" w:cs="Arial"/>
          <w:sz w:val="20"/>
          <w:szCs w:val="20"/>
        </w:rPr>
        <w:t>[R3</w:t>
      </w:r>
      <w:proofErr w:type="gramStart"/>
      <w:r w:rsidRPr="00C66F03">
        <w:rPr>
          <w:rFonts w:ascii="Arial" w:hAnsi="Arial" w:cs="Arial"/>
          <w:sz w:val="20"/>
          <w:szCs w:val="20"/>
        </w:rPr>
        <w:t xml:space="preserve">] </w:t>
      </w:r>
      <w:r w:rsidR="002E4193" w:rsidRPr="00C75AD7">
        <w:rPr>
          <w:rFonts w:ascii="Arial" w:hAnsi="Arial" w:cs="Arial"/>
          <w:sz w:val="20"/>
          <w:szCs w:val="20"/>
        </w:rPr>
        <w:t xml:space="preserve"> E</w:t>
      </w:r>
      <w:proofErr w:type="gramEnd"/>
      <w:r w:rsidR="002E4193" w:rsidRPr="00C75AD7">
        <w:rPr>
          <w:rFonts w:ascii="Arial" w:hAnsi="Arial" w:cs="Arial"/>
          <w:sz w:val="20"/>
          <w:szCs w:val="20"/>
        </w:rPr>
        <w:t>’ disponibile negli “App store” (sia Play Store che Apple Store) una applicazione “mobile” con funzioni di ascolto (text-to-speech), webinar video integrati, annotazione singole ricerche, libreria personalizzabile, log attività e planning attività (es. webinar, eventi, etc.)?</w:t>
      </w:r>
    </w:p>
    <w:p w14:paraId="1FC3A5AD" w14:textId="77777777" w:rsidR="002E4193" w:rsidRPr="00C75AD7" w:rsidRDefault="002E4193" w:rsidP="002E4193">
      <w:pPr>
        <w:pStyle w:val="Paragrafoelenco"/>
        <w:ind w:left="360"/>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E4193" w:rsidRPr="00C66F03" w14:paraId="3456E066" w14:textId="77777777" w:rsidTr="00094E41">
        <w:trPr>
          <w:trHeight w:val="940"/>
        </w:trPr>
        <w:tc>
          <w:tcPr>
            <w:tcW w:w="8494" w:type="dxa"/>
            <w:shd w:val="clear" w:color="auto" w:fill="F2F2F2" w:themeFill="background1" w:themeFillShade="F2"/>
          </w:tcPr>
          <w:p w14:paraId="2FB7AC39" w14:textId="77777777" w:rsidR="002E4193" w:rsidRPr="00C75AD7" w:rsidRDefault="002E4193" w:rsidP="00094E41">
            <w:pPr>
              <w:ind w:left="284"/>
              <w:jc w:val="both"/>
              <w:rPr>
                <w:rFonts w:ascii="Arial" w:hAnsi="Arial" w:cs="Arial"/>
                <w:bCs/>
                <w:sz w:val="20"/>
                <w:szCs w:val="20"/>
              </w:rPr>
            </w:pPr>
          </w:p>
        </w:tc>
      </w:tr>
    </w:tbl>
    <w:p w14:paraId="03EB6CCB" w14:textId="77777777" w:rsidR="002E4193" w:rsidRPr="00C75AD7" w:rsidRDefault="002E4193" w:rsidP="002E4193">
      <w:pPr>
        <w:spacing w:line="276" w:lineRule="auto"/>
        <w:jc w:val="both"/>
        <w:rPr>
          <w:rFonts w:ascii="Arial" w:hAnsi="Arial" w:cs="Arial"/>
          <w:bCs/>
          <w:sz w:val="20"/>
          <w:szCs w:val="20"/>
        </w:rPr>
      </w:pPr>
    </w:p>
    <w:p w14:paraId="25545EDE" w14:textId="76B8AE6B" w:rsidR="002E4193" w:rsidRPr="00C75AD7" w:rsidRDefault="002E4193">
      <w:pPr>
        <w:numPr>
          <w:ilvl w:val="0"/>
          <w:numId w:val="3"/>
        </w:numPr>
        <w:jc w:val="both"/>
        <w:rPr>
          <w:rFonts w:ascii="Arial" w:hAnsi="Arial" w:cs="Arial"/>
        </w:rPr>
      </w:pPr>
      <w:r w:rsidRPr="00C75AD7">
        <w:rPr>
          <w:rFonts w:ascii="Arial" w:hAnsi="Arial" w:cs="Arial"/>
          <w:sz w:val="20"/>
          <w:szCs w:val="20"/>
        </w:rPr>
        <w:t xml:space="preserve">[R5] Sulla base delle esigenze di Sogei per l’evoluzione e potenziamento del proprio personale tecnico, l’Azienda è in grado di garantire che, oltre ai requisiti minimi </w:t>
      </w:r>
      <w:r w:rsidR="00786B35" w:rsidRPr="00C66F03">
        <w:rPr>
          <w:rFonts w:ascii="Arial" w:hAnsi="Arial" w:cs="Arial"/>
          <w:sz w:val="20"/>
          <w:szCs w:val="20"/>
        </w:rPr>
        <w:t xml:space="preserve">già </w:t>
      </w:r>
      <w:r w:rsidRPr="00C75AD7">
        <w:rPr>
          <w:rFonts w:ascii="Arial" w:hAnsi="Arial" w:cs="Arial"/>
          <w:sz w:val="20"/>
          <w:szCs w:val="20"/>
        </w:rPr>
        <w:t xml:space="preserve">indicati </w:t>
      </w:r>
      <w:r w:rsidR="00786B35" w:rsidRPr="00C66F03">
        <w:rPr>
          <w:rFonts w:ascii="Arial" w:hAnsi="Arial" w:cs="Arial"/>
          <w:sz w:val="20"/>
          <w:szCs w:val="20"/>
        </w:rPr>
        <w:t>sopra</w:t>
      </w:r>
      <w:r w:rsidRPr="00C75AD7">
        <w:rPr>
          <w:rFonts w:ascii="Arial" w:hAnsi="Arial" w:cs="Arial"/>
          <w:sz w:val="20"/>
          <w:szCs w:val="20"/>
        </w:rPr>
        <w:t xml:space="preserve">, nella banca dati ICT on line Strategica siano riscontrabili i seguenti ambiti specifici di ricerca </w:t>
      </w:r>
      <w:proofErr w:type="gramStart"/>
      <w:r w:rsidRPr="00C75AD7">
        <w:rPr>
          <w:rFonts w:ascii="Arial" w:hAnsi="Arial" w:cs="Arial"/>
          <w:sz w:val="20"/>
          <w:szCs w:val="20"/>
        </w:rPr>
        <w:t>tecnica ?</w:t>
      </w:r>
      <w:proofErr w:type="gramEnd"/>
      <w:r w:rsidRPr="00C75AD7">
        <w:rPr>
          <w:rFonts w:ascii="Arial" w:hAnsi="Arial" w:cs="Arial"/>
          <w:sz w:val="20"/>
          <w:szCs w:val="20"/>
        </w:rPr>
        <w:t xml:space="preserve"> Qualora la ricerca indicata non sia disponibile, indicare “N.D.”</w:t>
      </w:r>
    </w:p>
    <w:p w14:paraId="58185DEE" w14:textId="77777777" w:rsidR="002E4193" w:rsidRPr="00C75AD7" w:rsidRDefault="002E4193" w:rsidP="002E4193">
      <w:pPr>
        <w:pStyle w:val="Titolo1"/>
        <w:numPr>
          <w:ilvl w:val="0"/>
          <w:numId w:val="0"/>
        </w:numPr>
        <w:rPr>
          <w:rFonts w:cs="Arial"/>
          <w:szCs w:val="22"/>
        </w:rPr>
      </w:pPr>
      <w:r w:rsidRPr="00C75AD7">
        <w:rPr>
          <w:rFonts w:cs="Arial"/>
          <w:szCs w:val="22"/>
        </w:rPr>
        <w:t>Risposta (barrare con una X)</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80"/>
        <w:gridCol w:w="957"/>
        <w:gridCol w:w="4941"/>
        <w:gridCol w:w="443"/>
      </w:tblGrid>
      <w:tr w:rsidR="002E4193" w:rsidRPr="00C66F03" w14:paraId="0757FF9E" w14:textId="77777777" w:rsidTr="00094E41">
        <w:tc>
          <w:tcPr>
            <w:tcW w:w="959" w:type="dxa"/>
            <w:tcBorders>
              <w:top w:val="nil"/>
              <w:left w:val="nil"/>
              <w:bottom w:val="single" w:sz="4" w:space="0" w:color="auto"/>
              <w:right w:val="nil"/>
            </w:tcBorders>
            <w:vAlign w:val="center"/>
          </w:tcPr>
          <w:p w14:paraId="39D84668" w14:textId="77777777" w:rsidR="002E4193" w:rsidRPr="00C75AD7" w:rsidRDefault="002E4193" w:rsidP="00094E41">
            <w:pPr>
              <w:spacing w:line="360" w:lineRule="auto"/>
              <w:rPr>
                <w:rFonts w:ascii="Arial" w:hAnsi="Arial" w:cs="Arial"/>
                <w:b/>
                <w:sz w:val="20"/>
                <w:szCs w:val="20"/>
              </w:rPr>
            </w:pPr>
          </w:p>
        </w:tc>
        <w:tc>
          <w:tcPr>
            <w:tcW w:w="1440" w:type="dxa"/>
            <w:gridSpan w:val="2"/>
            <w:tcBorders>
              <w:top w:val="nil"/>
              <w:left w:val="nil"/>
              <w:bottom w:val="single" w:sz="4" w:space="0" w:color="auto"/>
              <w:right w:val="nil"/>
            </w:tcBorders>
          </w:tcPr>
          <w:p w14:paraId="3911E08B" w14:textId="77777777" w:rsidR="002E4193" w:rsidRPr="00C75AD7" w:rsidRDefault="002E4193" w:rsidP="00094E41">
            <w:pPr>
              <w:jc w:val="both"/>
              <w:rPr>
                <w:rFonts w:ascii="Arial" w:hAnsi="Arial" w:cs="Arial"/>
                <w:sz w:val="20"/>
                <w:szCs w:val="20"/>
              </w:rPr>
            </w:pPr>
          </w:p>
        </w:tc>
        <w:tc>
          <w:tcPr>
            <w:tcW w:w="4961" w:type="dxa"/>
            <w:tcBorders>
              <w:top w:val="nil"/>
              <w:left w:val="nil"/>
              <w:bottom w:val="single" w:sz="4" w:space="0" w:color="auto"/>
              <w:right w:val="single" w:sz="4" w:space="0" w:color="auto"/>
            </w:tcBorders>
            <w:vAlign w:val="center"/>
          </w:tcPr>
          <w:p w14:paraId="7DE00963" w14:textId="77777777" w:rsidR="002E4193" w:rsidRPr="00C75AD7" w:rsidRDefault="002E4193" w:rsidP="00094E41">
            <w:pPr>
              <w:jc w:val="both"/>
              <w:rPr>
                <w:rFonts w:ascii="Arial" w:hAnsi="Arial" w:cs="Arial"/>
                <w:sz w:val="20"/>
                <w:szCs w:val="20"/>
              </w:rPr>
            </w:pPr>
          </w:p>
        </w:tc>
        <w:tc>
          <w:tcPr>
            <w:tcW w:w="419" w:type="dxa"/>
            <w:tcBorders>
              <w:left w:val="single" w:sz="4" w:space="0" w:color="auto"/>
              <w:bottom w:val="single" w:sz="4" w:space="0" w:color="auto"/>
            </w:tcBorders>
          </w:tcPr>
          <w:p w14:paraId="16D51374" w14:textId="77777777" w:rsidR="002E4193" w:rsidRPr="00C75AD7" w:rsidRDefault="002E4193" w:rsidP="00094E41">
            <w:pPr>
              <w:spacing w:line="360" w:lineRule="auto"/>
              <w:jc w:val="center"/>
              <w:rPr>
                <w:rFonts w:ascii="Arial" w:hAnsi="Arial" w:cs="Arial"/>
                <w:b/>
                <w:bCs/>
                <w:sz w:val="20"/>
                <w:szCs w:val="20"/>
              </w:rPr>
            </w:pPr>
            <w:r w:rsidRPr="00C75AD7">
              <w:rPr>
                <w:rFonts w:ascii="Arial" w:hAnsi="Arial" w:cs="Arial"/>
                <w:b/>
                <w:bCs/>
                <w:szCs w:val="20"/>
              </w:rPr>
              <w:t>Sì</w:t>
            </w:r>
          </w:p>
        </w:tc>
      </w:tr>
      <w:tr w:rsidR="002E4193" w:rsidRPr="00C66F03" w14:paraId="21E94EC5" w14:textId="77777777" w:rsidTr="00094E41">
        <w:tc>
          <w:tcPr>
            <w:tcW w:w="1440" w:type="dxa"/>
            <w:gridSpan w:val="2"/>
            <w:vMerge w:val="restart"/>
            <w:tcBorders>
              <w:top w:val="single" w:sz="4" w:space="0" w:color="auto"/>
            </w:tcBorders>
          </w:tcPr>
          <w:p w14:paraId="55F605E5" w14:textId="77777777" w:rsidR="002E4193" w:rsidRPr="00C75AD7" w:rsidRDefault="002E4193" w:rsidP="00094E41">
            <w:pPr>
              <w:jc w:val="center"/>
              <w:rPr>
                <w:rFonts w:ascii="Arial" w:hAnsi="Arial" w:cs="Arial"/>
                <w:sz w:val="20"/>
                <w:szCs w:val="20"/>
                <w:highlight w:val="yellow"/>
              </w:rPr>
            </w:pPr>
          </w:p>
          <w:p w14:paraId="5A4D168E" w14:textId="77777777" w:rsidR="002E4193" w:rsidRPr="00C75AD7" w:rsidRDefault="002E4193" w:rsidP="00094E41">
            <w:pPr>
              <w:jc w:val="center"/>
              <w:rPr>
                <w:rFonts w:ascii="Arial" w:hAnsi="Arial" w:cs="Arial"/>
                <w:sz w:val="20"/>
                <w:szCs w:val="20"/>
                <w:highlight w:val="yellow"/>
              </w:rPr>
            </w:pPr>
          </w:p>
          <w:p w14:paraId="5A6722CC" w14:textId="77777777" w:rsidR="002E4193" w:rsidRPr="00C75AD7" w:rsidRDefault="002E4193" w:rsidP="00094E41">
            <w:pPr>
              <w:jc w:val="center"/>
              <w:rPr>
                <w:rFonts w:ascii="Arial" w:hAnsi="Arial" w:cs="Arial"/>
                <w:sz w:val="20"/>
                <w:szCs w:val="20"/>
                <w:highlight w:val="yellow"/>
              </w:rPr>
            </w:pPr>
          </w:p>
          <w:p w14:paraId="41AEC473" w14:textId="77777777" w:rsidR="002E4193" w:rsidRPr="00C75AD7" w:rsidRDefault="002E4193" w:rsidP="00094E41">
            <w:pPr>
              <w:jc w:val="center"/>
              <w:rPr>
                <w:rFonts w:ascii="Arial" w:hAnsi="Arial" w:cs="Arial"/>
                <w:sz w:val="20"/>
                <w:szCs w:val="20"/>
                <w:highlight w:val="yellow"/>
              </w:rPr>
            </w:pPr>
          </w:p>
          <w:p w14:paraId="68B34F89" w14:textId="77777777" w:rsidR="002E4193" w:rsidRPr="00C75AD7" w:rsidRDefault="002E4193" w:rsidP="00094E41">
            <w:pPr>
              <w:jc w:val="center"/>
              <w:rPr>
                <w:rFonts w:ascii="Arial" w:hAnsi="Arial" w:cs="Arial"/>
                <w:sz w:val="20"/>
                <w:szCs w:val="20"/>
                <w:highlight w:val="yellow"/>
              </w:rPr>
            </w:pPr>
          </w:p>
          <w:p w14:paraId="41FF19DB" w14:textId="77777777" w:rsidR="002E4193" w:rsidRPr="00C75AD7" w:rsidRDefault="002E4193" w:rsidP="00094E41">
            <w:pPr>
              <w:jc w:val="center"/>
              <w:rPr>
                <w:rFonts w:ascii="Arial" w:hAnsi="Arial" w:cs="Arial"/>
                <w:sz w:val="20"/>
                <w:szCs w:val="20"/>
                <w:highlight w:val="yellow"/>
              </w:rPr>
            </w:pPr>
          </w:p>
          <w:p w14:paraId="728FAD4A" w14:textId="77777777" w:rsidR="002E4193" w:rsidRPr="00C75AD7" w:rsidRDefault="002E4193" w:rsidP="00094E41">
            <w:pPr>
              <w:jc w:val="center"/>
              <w:rPr>
                <w:rFonts w:ascii="Arial" w:hAnsi="Arial" w:cs="Arial"/>
                <w:sz w:val="20"/>
                <w:szCs w:val="20"/>
                <w:highlight w:val="yellow"/>
              </w:rPr>
            </w:pPr>
          </w:p>
          <w:p w14:paraId="0CF7DBB5" w14:textId="77777777" w:rsidR="002E4193" w:rsidRPr="00C75AD7" w:rsidRDefault="002E4193" w:rsidP="00094E41">
            <w:pPr>
              <w:jc w:val="center"/>
              <w:rPr>
                <w:rFonts w:ascii="Arial" w:hAnsi="Arial" w:cs="Arial"/>
                <w:b/>
                <w:sz w:val="20"/>
                <w:szCs w:val="20"/>
                <w:highlight w:val="yellow"/>
              </w:rPr>
            </w:pPr>
            <w:r w:rsidRPr="00C75AD7">
              <w:rPr>
                <w:rFonts w:ascii="Arial" w:hAnsi="Arial" w:cs="Arial"/>
                <w:b/>
                <w:sz w:val="20"/>
                <w:szCs w:val="20"/>
              </w:rPr>
              <w:t>Contenuti della Ricerca ICT on line Strategica</w:t>
            </w:r>
          </w:p>
        </w:tc>
        <w:tc>
          <w:tcPr>
            <w:tcW w:w="5920" w:type="dxa"/>
            <w:gridSpan w:val="2"/>
            <w:tcBorders>
              <w:top w:val="single" w:sz="4" w:space="0" w:color="auto"/>
            </w:tcBorders>
            <w:vAlign w:val="center"/>
          </w:tcPr>
          <w:p w14:paraId="1BB470EB" w14:textId="77777777" w:rsidR="002E4193" w:rsidRPr="00C75AD7" w:rsidRDefault="002E4193" w:rsidP="00094E41">
            <w:pPr>
              <w:jc w:val="both"/>
              <w:rPr>
                <w:rFonts w:ascii="Arial" w:hAnsi="Arial" w:cs="Arial"/>
                <w:bCs/>
                <w:i/>
                <w:sz w:val="20"/>
                <w:szCs w:val="20"/>
                <w:highlight w:val="yellow"/>
              </w:rPr>
            </w:pPr>
            <w:r w:rsidRPr="00C75AD7">
              <w:rPr>
                <w:rFonts w:ascii="Arial" w:hAnsi="Arial" w:cs="Arial"/>
                <w:sz w:val="20"/>
                <w:szCs w:val="20"/>
              </w:rPr>
              <w:t>I contenuti della ricerca presenti nella banca dati on line ICT dovranno essere aggiornati almeno annualmente.</w:t>
            </w:r>
          </w:p>
        </w:tc>
        <w:tc>
          <w:tcPr>
            <w:tcW w:w="419" w:type="dxa"/>
          </w:tcPr>
          <w:p w14:paraId="745CA9C1"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7D35E256" w14:textId="77777777" w:rsidTr="00094E41">
        <w:tc>
          <w:tcPr>
            <w:tcW w:w="1440" w:type="dxa"/>
            <w:gridSpan w:val="2"/>
            <w:vMerge/>
            <w:tcBorders>
              <w:bottom w:val="single" w:sz="4" w:space="0" w:color="auto"/>
            </w:tcBorders>
          </w:tcPr>
          <w:p w14:paraId="0E7FA693" w14:textId="77777777" w:rsidR="002E4193" w:rsidRPr="00C75AD7" w:rsidRDefault="002E4193" w:rsidP="00094E41">
            <w:pPr>
              <w:jc w:val="both"/>
              <w:rPr>
                <w:rFonts w:ascii="Arial" w:hAnsi="Arial" w:cs="Arial"/>
                <w:sz w:val="20"/>
                <w:szCs w:val="20"/>
              </w:rPr>
            </w:pPr>
          </w:p>
        </w:tc>
        <w:tc>
          <w:tcPr>
            <w:tcW w:w="5920" w:type="dxa"/>
            <w:gridSpan w:val="2"/>
            <w:tcBorders>
              <w:top w:val="single" w:sz="4" w:space="0" w:color="auto"/>
              <w:bottom w:val="single" w:sz="4" w:space="0" w:color="auto"/>
            </w:tcBorders>
            <w:vAlign w:val="center"/>
          </w:tcPr>
          <w:p w14:paraId="5226020F"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Le banche dati on line ICT devono comprendere i seguenti contenuti:</w:t>
            </w:r>
          </w:p>
          <w:p w14:paraId="1729DD2E"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evoluzioni delle tecnologie del mercato e dei fornitori per la pianificazione e la definizione di strategie ICT;</w:t>
            </w:r>
          </w:p>
          <w:p w14:paraId="3C16FE7C"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best practice, metodologie, template, casi reali e altri documenti predisposti per l'esecuzione della strategia o piano triennale di evoluzione ICT;</w:t>
            </w:r>
          </w:p>
          <w:p w14:paraId="592DAD8B"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 xml:space="preserve">analisi di mercato in termini di </w:t>
            </w:r>
            <w:proofErr w:type="spellStart"/>
            <w:r w:rsidRPr="00C75AD7">
              <w:rPr>
                <w:rFonts w:ascii="Arial" w:hAnsi="Arial" w:cs="Arial"/>
                <w:sz w:val="20"/>
                <w:szCs w:val="20"/>
              </w:rPr>
              <w:t>innovation</w:t>
            </w:r>
            <w:proofErr w:type="spellEnd"/>
            <w:r w:rsidRPr="00C75AD7">
              <w:rPr>
                <w:rFonts w:ascii="Arial" w:hAnsi="Arial" w:cs="Arial"/>
                <w:sz w:val="20"/>
                <w:szCs w:val="20"/>
              </w:rPr>
              <w:t xml:space="preserve"> IT al fine di facilitare l’accesso a nuove tecnologie promuovendo quindi l’ecosistema dell’innovazione;</w:t>
            </w:r>
          </w:p>
          <w:p w14:paraId="486786CF"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linee guida contrattuali per l’acquisizione e la fornitura di servizi ICT;</w:t>
            </w:r>
          </w:p>
          <w:p w14:paraId="46ABA0D2"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analisi tecniche in cui vengono confrontate soluzioni, piattaforme e servizi di fornitori hardware e software di carattere tecnologico su più dimensioni;</w:t>
            </w:r>
          </w:p>
          <w:p w14:paraId="4145682A"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 xml:space="preserve">contenuti sullo sviluppo e gestione di un modello di </w:t>
            </w:r>
            <w:proofErr w:type="spellStart"/>
            <w:r w:rsidRPr="00C75AD7">
              <w:rPr>
                <w:rFonts w:ascii="Arial" w:hAnsi="Arial" w:cs="Arial"/>
                <w:sz w:val="20"/>
                <w:szCs w:val="20"/>
              </w:rPr>
              <w:t>vendor</w:t>
            </w:r>
            <w:proofErr w:type="spellEnd"/>
            <w:r w:rsidRPr="00C75AD7">
              <w:rPr>
                <w:rFonts w:ascii="Arial" w:hAnsi="Arial" w:cs="Arial"/>
                <w:sz w:val="20"/>
                <w:szCs w:val="20"/>
              </w:rPr>
              <w:t xml:space="preserve"> management e </w:t>
            </w:r>
            <w:proofErr w:type="spellStart"/>
            <w:r w:rsidRPr="00C75AD7">
              <w:rPr>
                <w:rFonts w:ascii="Arial" w:hAnsi="Arial" w:cs="Arial"/>
                <w:sz w:val="20"/>
                <w:szCs w:val="20"/>
              </w:rPr>
              <w:t>vendor</w:t>
            </w:r>
            <w:proofErr w:type="spellEnd"/>
            <w:r w:rsidRPr="00C75AD7">
              <w:rPr>
                <w:rFonts w:ascii="Arial" w:hAnsi="Arial" w:cs="Arial"/>
                <w:sz w:val="20"/>
                <w:szCs w:val="20"/>
              </w:rPr>
              <w:t xml:space="preserve"> rating;</w:t>
            </w:r>
          </w:p>
          <w:p w14:paraId="1EB9DEDD"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lastRenderedPageBreak/>
              <w:t>contenuti/ricerca su modelli di sourcing e ICT Governance;</w:t>
            </w:r>
          </w:p>
          <w:p w14:paraId="5BA78253"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 xml:space="preserve">best practice sulle negoziazioni con i </w:t>
            </w:r>
            <w:proofErr w:type="spellStart"/>
            <w:r w:rsidRPr="00C75AD7">
              <w:rPr>
                <w:rFonts w:ascii="Arial" w:hAnsi="Arial" w:cs="Arial"/>
                <w:sz w:val="20"/>
                <w:szCs w:val="20"/>
              </w:rPr>
              <w:t>vendor</w:t>
            </w:r>
            <w:proofErr w:type="spellEnd"/>
            <w:r w:rsidRPr="00C75AD7">
              <w:rPr>
                <w:rFonts w:ascii="Arial" w:hAnsi="Arial" w:cs="Arial"/>
                <w:sz w:val="20"/>
                <w:szCs w:val="20"/>
              </w:rPr>
              <w:t>, termini e condizioni di software e servizi;</w:t>
            </w:r>
          </w:p>
          <w:p w14:paraId="443F9347"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ricerche sull’ottimizzazione dei costi ICT delle “Operations” con parametri prestazionali su investimenti IT e gestione del personale, costi unitari e misure delle prestazioni in domini IT strategici;</w:t>
            </w:r>
          </w:p>
          <w:p w14:paraId="5601DE90"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PA (Government), strategia digitale e impatto della stessa sul procurement, nuove modalità di sourcing;</w:t>
            </w:r>
          </w:p>
          <w:p w14:paraId="20C41700" w14:textId="77777777" w:rsidR="002E4193" w:rsidRPr="00C75AD7" w:rsidRDefault="002E4193">
            <w:pPr>
              <w:pStyle w:val="Paragrafoelenco"/>
              <w:numPr>
                <w:ilvl w:val="0"/>
                <w:numId w:val="22"/>
              </w:numPr>
              <w:ind w:left="315" w:hanging="141"/>
              <w:jc w:val="both"/>
              <w:rPr>
                <w:rFonts w:ascii="Arial" w:hAnsi="Arial" w:cs="Arial"/>
                <w:sz w:val="20"/>
                <w:szCs w:val="20"/>
              </w:rPr>
            </w:pPr>
            <w:r w:rsidRPr="00C75AD7">
              <w:rPr>
                <w:rFonts w:ascii="Arial" w:hAnsi="Arial" w:cs="Arial"/>
                <w:sz w:val="20"/>
                <w:szCs w:val="20"/>
              </w:rPr>
              <w:t>tabelle di confronto mainframe performance standard Gartner MIPS vs. IBM MSU.</w:t>
            </w:r>
          </w:p>
        </w:tc>
        <w:tc>
          <w:tcPr>
            <w:tcW w:w="419" w:type="dxa"/>
            <w:tcBorders>
              <w:bottom w:val="single" w:sz="4" w:space="0" w:color="auto"/>
            </w:tcBorders>
          </w:tcPr>
          <w:p w14:paraId="1DB328EE" w14:textId="77777777" w:rsidR="002E4193" w:rsidRPr="00C75AD7" w:rsidRDefault="002E4193" w:rsidP="00094E41">
            <w:pPr>
              <w:spacing w:line="360" w:lineRule="auto"/>
              <w:jc w:val="both"/>
              <w:rPr>
                <w:rFonts w:ascii="Arial" w:hAnsi="Arial" w:cs="Arial"/>
                <w:bCs/>
                <w:i/>
                <w:sz w:val="20"/>
                <w:szCs w:val="20"/>
                <w:highlight w:val="green"/>
              </w:rPr>
            </w:pPr>
          </w:p>
        </w:tc>
      </w:tr>
    </w:tbl>
    <w:p w14:paraId="17390012" w14:textId="77777777" w:rsidR="002E4193" w:rsidRPr="00C75AD7" w:rsidRDefault="002E4193" w:rsidP="002E4193">
      <w:pPr>
        <w:pStyle w:val="Paragrafoelenco"/>
        <w:ind w:left="360"/>
        <w:jc w:val="both"/>
        <w:rPr>
          <w:rFonts w:ascii="Arial" w:hAnsi="Arial" w:cs="Arial"/>
          <w:bCs/>
          <w:sz w:val="20"/>
          <w:szCs w:val="20"/>
        </w:rPr>
      </w:pPr>
    </w:p>
    <w:p w14:paraId="27D9BF53" w14:textId="77777777" w:rsidR="002E4193" w:rsidRPr="00C75AD7" w:rsidRDefault="002E4193">
      <w:pPr>
        <w:pStyle w:val="Paragrafoelenco"/>
        <w:numPr>
          <w:ilvl w:val="0"/>
          <w:numId w:val="3"/>
        </w:numPr>
        <w:jc w:val="both"/>
        <w:rPr>
          <w:rFonts w:ascii="Arial" w:hAnsi="Arial" w:cs="Arial"/>
        </w:rPr>
      </w:pPr>
      <w:r w:rsidRPr="00C75AD7">
        <w:rPr>
          <w:rFonts w:ascii="Arial" w:hAnsi="Arial" w:cs="Arial"/>
          <w:sz w:val="20"/>
          <w:szCs w:val="20"/>
        </w:rPr>
        <w:t xml:space="preserve">[R6] Sulla base delle esigenze di Sogei per l’evoluzione e potenziamento del proprio personale tecnico, l’Azienda è in grado di garantire che, oltre ai requisiti minimi indicati nelle premesse, nella banca dati ICT on line Tecnica siano riscontrabili i seguenti ambiti specifici di ricerca </w:t>
      </w:r>
      <w:proofErr w:type="gramStart"/>
      <w:r w:rsidRPr="00C75AD7">
        <w:rPr>
          <w:rFonts w:ascii="Arial" w:hAnsi="Arial" w:cs="Arial"/>
          <w:sz w:val="20"/>
          <w:szCs w:val="20"/>
        </w:rPr>
        <w:t>tecnica ?</w:t>
      </w:r>
      <w:proofErr w:type="gramEnd"/>
      <w:r w:rsidRPr="00C75AD7">
        <w:rPr>
          <w:rFonts w:ascii="Arial" w:hAnsi="Arial" w:cs="Arial"/>
          <w:sz w:val="20"/>
          <w:szCs w:val="20"/>
        </w:rPr>
        <w:t xml:space="preserve"> Qualora la ricerca indicata non sia disponibile, indicare “N.D.”</w:t>
      </w:r>
    </w:p>
    <w:p w14:paraId="0A64EF4D" w14:textId="77777777" w:rsidR="002E4193" w:rsidRPr="00C75AD7" w:rsidRDefault="002E4193" w:rsidP="002E4193">
      <w:pPr>
        <w:pStyle w:val="Titolo1"/>
        <w:numPr>
          <w:ilvl w:val="0"/>
          <w:numId w:val="0"/>
        </w:numPr>
        <w:rPr>
          <w:rFonts w:cs="Arial"/>
          <w:szCs w:val="22"/>
        </w:rPr>
      </w:pPr>
      <w:r w:rsidRPr="00C75AD7">
        <w:rPr>
          <w:rFonts w:cs="Arial"/>
          <w:szCs w:val="22"/>
        </w:rPr>
        <w:t>Risposta (barrare con una X)</w:t>
      </w:r>
    </w:p>
    <w:p w14:paraId="5D3D09B4" w14:textId="77777777" w:rsidR="002E4193" w:rsidRPr="00C75AD7" w:rsidRDefault="002E4193" w:rsidP="002E4193">
      <w:pPr>
        <w:rPr>
          <w:rFonts w:ascii="Arial" w:hAnsi="Arial" w:cs="Arial"/>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898"/>
        <w:gridCol w:w="443"/>
      </w:tblGrid>
      <w:tr w:rsidR="002E4193" w:rsidRPr="00C66F03" w14:paraId="0F402C8F" w14:textId="77777777" w:rsidTr="00094E41">
        <w:tc>
          <w:tcPr>
            <w:tcW w:w="1440" w:type="dxa"/>
          </w:tcPr>
          <w:p w14:paraId="09AA3498" w14:textId="77777777" w:rsidR="002E4193" w:rsidRPr="00C75AD7" w:rsidRDefault="002E4193" w:rsidP="00094E41">
            <w:pPr>
              <w:jc w:val="both"/>
              <w:rPr>
                <w:rFonts w:ascii="Arial" w:hAnsi="Arial" w:cs="Arial"/>
                <w:sz w:val="20"/>
                <w:szCs w:val="20"/>
              </w:rPr>
            </w:pPr>
          </w:p>
        </w:tc>
        <w:tc>
          <w:tcPr>
            <w:tcW w:w="5920" w:type="dxa"/>
            <w:vAlign w:val="center"/>
          </w:tcPr>
          <w:p w14:paraId="61B0601E" w14:textId="77777777" w:rsidR="002E4193" w:rsidRPr="00C75AD7" w:rsidRDefault="002E4193" w:rsidP="00094E41">
            <w:pPr>
              <w:jc w:val="both"/>
              <w:rPr>
                <w:rFonts w:ascii="Arial" w:hAnsi="Arial" w:cs="Arial"/>
                <w:sz w:val="20"/>
                <w:szCs w:val="20"/>
              </w:rPr>
            </w:pPr>
          </w:p>
        </w:tc>
        <w:tc>
          <w:tcPr>
            <w:tcW w:w="419" w:type="dxa"/>
          </w:tcPr>
          <w:p w14:paraId="466441E1" w14:textId="77777777" w:rsidR="002E4193" w:rsidRPr="00C75AD7" w:rsidRDefault="002E4193" w:rsidP="00094E41">
            <w:pPr>
              <w:spacing w:line="360" w:lineRule="auto"/>
              <w:jc w:val="both"/>
              <w:rPr>
                <w:rFonts w:ascii="Arial" w:hAnsi="Arial" w:cs="Arial"/>
                <w:bCs/>
                <w:i/>
                <w:sz w:val="20"/>
                <w:szCs w:val="20"/>
                <w:highlight w:val="green"/>
                <w:lang w:val="en-US"/>
              </w:rPr>
            </w:pPr>
            <w:r w:rsidRPr="00C75AD7">
              <w:rPr>
                <w:rFonts w:ascii="Arial" w:hAnsi="Arial" w:cs="Arial"/>
                <w:b/>
                <w:bCs/>
                <w:szCs w:val="20"/>
              </w:rPr>
              <w:t>Sì</w:t>
            </w:r>
          </w:p>
        </w:tc>
      </w:tr>
      <w:tr w:rsidR="002E4193" w:rsidRPr="00F82995" w14:paraId="038B558D" w14:textId="77777777" w:rsidTr="00094E41">
        <w:tc>
          <w:tcPr>
            <w:tcW w:w="1440" w:type="dxa"/>
            <w:vMerge w:val="restart"/>
          </w:tcPr>
          <w:p w14:paraId="2BFA18EE" w14:textId="77777777" w:rsidR="002E4193" w:rsidRPr="00C75AD7" w:rsidRDefault="002E4193" w:rsidP="00094E41">
            <w:pPr>
              <w:jc w:val="both"/>
              <w:rPr>
                <w:rFonts w:ascii="Arial" w:hAnsi="Arial" w:cs="Arial"/>
                <w:sz w:val="20"/>
                <w:szCs w:val="20"/>
              </w:rPr>
            </w:pPr>
          </w:p>
          <w:p w14:paraId="349B3808" w14:textId="77777777" w:rsidR="002E4193" w:rsidRPr="00C75AD7" w:rsidRDefault="002E4193" w:rsidP="00094E41">
            <w:pPr>
              <w:jc w:val="both"/>
              <w:rPr>
                <w:rFonts w:ascii="Arial" w:hAnsi="Arial" w:cs="Arial"/>
                <w:sz w:val="20"/>
                <w:szCs w:val="20"/>
              </w:rPr>
            </w:pPr>
          </w:p>
          <w:p w14:paraId="41C14F04" w14:textId="77777777" w:rsidR="002E4193" w:rsidRPr="00C75AD7" w:rsidRDefault="002E4193" w:rsidP="00094E41">
            <w:pPr>
              <w:jc w:val="both"/>
              <w:rPr>
                <w:rFonts w:ascii="Arial" w:hAnsi="Arial" w:cs="Arial"/>
                <w:sz w:val="20"/>
                <w:szCs w:val="20"/>
              </w:rPr>
            </w:pPr>
          </w:p>
          <w:p w14:paraId="30012A90" w14:textId="77777777" w:rsidR="002E4193" w:rsidRPr="00C75AD7" w:rsidRDefault="002E4193" w:rsidP="00094E41">
            <w:pPr>
              <w:jc w:val="both"/>
              <w:rPr>
                <w:rFonts w:ascii="Arial" w:hAnsi="Arial" w:cs="Arial"/>
                <w:sz w:val="20"/>
                <w:szCs w:val="20"/>
              </w:rPr>
            </w:pPr>
          </w:p>
          <w:p w14:paraId="37CAB58C" w14:textId="77777777" w:rsidR="002E4193" w:rsidRPr="00C75AD7" w:rsidRDefault="002E4193" w:rsidP="00094E41">
            <w:pPr>
              <w:jc w:val="both"/>
              <w:rPr>
                <w:rFonts w:ascii="Arial" w:hAnsi="Arial" w:cs="Arial"/>
                <w:sz w:val="20"/>
                <w:szCs w:val="20"/>
              </w:rPr>
            </w:pPr>
          </w:p>
          <w:p w14:paraId="76A39086" w14:textId="77777777" w:rsidR="002E4193" w:rsidRPr="00C75AD7" w:rsidRDefault="002E4193" w:rsidP="00094E41">
            <w:pPr>
              <w:jc w:val="both"/>
              <w:rPr>
                <w:rFonts w:ascii="Arial" w:hAnsi="Arial" w:cs="Arial"/>
                <w:sz w:val="20"/>
                <w:szCs w:val="20"/>
              </w:rPr>
            </w:pPr>
          </w:p>
          <w:p w14:paraId="7BEC6E9F" w14:textId="77777777" w:rsidR="002E4193" w:rsidRPr="00C75AD7" w:rsidRDefault="002E4193" w:rsidP="00094E41">
            <w:pPr>
              <w:jc w:val="both"/>
              <w:rPr>
                <w:rFonts w:ascii="Arial" w:hAnsi="Arial" w:cs="Arial"/>
                <w:b/>
                <w:sz w:val="20"/>
                <w:szCs w:val="20"/>
              </w:rPr>
            </w:pPr>
          </w:p>
          <w:p w14:paraId="385CB309" w14:textId="77777777" w:rsidR="002E4193" w:rsidRPr="00C75AD7" w:rsidRDefault="002E4193" w:rsidP="00094E41">
            <w:pPr>
              <w:jc w:val="both"/>
              <w:rPr>
                <w:rFonts w:ascii="Arial" w:hAnsi="Arial" w:cs="Arial"/>
                <w:sz w:val="20"/>
                <w:szCs w:val="20"/>
              </w:rPr>
            </w:pPr>
            <w:r w:rsidRPr="00C75AD7">
              <w:rPr>
                <w:rFonts w:ascii="Arial" w:hAnsi="Arial" w:cs="Arial"/>
                <w:b/>
                <w:sz w:val="20"/>
                <w:szCs w:val="20"/>
              </w:rPr>
              <w:t>Contenuti della Ricerca ICT on line Tecnica</w:t>
            </w:r>
          </w:p>
        </w:tc>
        <w:tc>
          <w:tcPr>
            <w:tcW w:w="5920" w:type="dxa"/>
            <w:vAlign w:val="center"/>
          </w:tcPr>
          <w:p w14:paraId="574D420D"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Le banche dati on line ICT devono coprire i seguenti ambiti e sotto ambiti:</w:t>
            </w:r>
          </w:p>
          <w:p w14:paraId="49EBC823" w14:textId="77777777" w:rsidR="002E4193" w:rsidRPr="00C75AD7" w:rsidRDefault="002E4193">
            <w:pPr>
              <w:pStyle w:val="Paragrafoelenco"/>
              <w:numPr>
                <w:ilvl w:val="0"/>
                <w:numId w:val="22"/>
              </w:numPr>
              <w:ind w:left="315" w:hanging="141"/>
              <w:jc w:val="both"/>
              <w:rPr>
                <w:rFonts w:ascii="Arial" w:hAnsi="Arial" w:cs="Arial"/>
                <w:sz w:val="20"/>
                <w:szCs w:val="20"/>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data center infrastructure</w:t>
            </w:r>
            <w:r w:rsidRPr="00C75AD7">
              <w:rPr>
                <w:rFonts w:ascii="Arial" w:hAnsi="Arial" w:cs="Arial"/>
                <w:sz w:val="20"/>
                <w:szCs w:val="20"/>
              </w:rPr>
              <w:t>:</w:t>
            </w:r>
          </w:p>
          <w:p w14:paraId="7569B144" w14:textId="77777777" w:rsidR="002E4193" w:rsidRPr="00C75AD7" w:rsidRDefault="002E4193">
            <w:pPr>
              <w:pStyle w:val="Paragrafoelenco"/>
              <w:numPr>
                <w:ilvl w:val="0"/>
                <w:numId w:val="22"/>
              </w:numPr>
              <w:ind w:left="599" w:hanging="142"/>
              <w:jc w:val="both"/>
              <w:rPr>
                <w:rFonts w:ascii="Arial" w:hAnsi="Arial" w:cs="Arial"/>
                <w:sz w:val="20"/>
                <w:szCs w:val="20"/>
              </w:rPr>
            </w:pPr>
            <w:r w:rsidRPr="00C75AD7">
              <w:rPr>
                <w:rFonts w:ascii="Arial" w:hAnsi="Arial" w:cs="Arial"/>
                <w:sz w:val="20"/>
                <w:szCs w:val="20"/>
              </w:rPr>
              <w:t xml:space="preserve">data center </w:t>
            </w:r>
            <w:proofErr w:type="spellStart"/>
            <w:r w:rsidRPr="00C75AD7">
              <w:rPr>
                <w:rFonts w:ascii="Arial" w:hAnsi="Arial" w:cs="Arial"/>
                <w:sz w:val="20"/>
                <w:szCs w:val="20"/>
              </w:rPr>
              <w:t>modernization</w:t>
            </w:r>
            <w:proofErr w:type="spellEnd"/>
            <w:r w:rsidRPr="00C75AD7">
              <w:rPr>
                <w:rFonts w:ascii="Arial" w:hAnsi="Arial" w:cs="Arial"/>
                <w:sz w:val="20"/>
                <w:szCs w:val="20"/>
              </w:rPr>
              <w:t xml:space="preserve"> / </w:t>
            </w:r>
            <w:proofErr w:type="spellStart"/>
            <w:r w:rsidRPr="00C75AD7">
              <w:rPr>
                <w:rFonts w:ascii="Arial" w:hAnsi="Arial" w:cs="Arial"/>
                <w:sz w:val="20"/>
                <w:szCs w:val="20"/>
              </w:rPr>
              <w:t>consolidation</w:t>
            </w:r>
            <w:proofErr w:type="spellEnd"/>
            <w:r w:rsidRPr="00C75AD7">
              <w:rPr>
                <w:rFonts w:ascii="Arial" w:hAnsi="Arial" w:cs="Arial"/>
                <w:sz w:val="20"/>
                <w:szCs w:val="20"/>
              </w:rPr>
              <w:t>;</w:t>
            </w:r>
          </w:p>
          <w:p w14:paraId="72C273A3" w14:textId="77777777" w:rsidR="002E4193" w:rsidRPr="00C75AD7" w:rsidRDefault="002E4193">
            <w:pPr>
              <w:pStyle w:val="Paragrafoelenco"/>
              <w:numPr>
                <w:ilvl w:val="0"/>
                <w:numId w:val="22"/>
              </w:numPr>
              <w:ind w:left="599" w:hanging="142"/>
              <w:jc w:val="both"/>
              <w:rPr>
                <w:rFonts w:ascii="Arial" w:hAnsi="Arial" w:cs="Arial"/>
                <w:sz w:val="20"/>
                <w:szCs w:val="20"/>
              </w:rPr>
            </w:pPr>
            <w:proofErr w:type="spellStart"/>
            <w:r w:rsidRPr="00C75AD7">
              <w:rPr>
                <w:rFonts w:ascii="Arial" w:hAnsi="Arial" w:cs="Arial"/>
                <w:sz w:val="20"/>
                <w:szCs w:val="20"/>
              </w:rPr>
              <w:t>hybrid</w:t>
            </w:r>
            <w:proofErr w:type="spellEnd"/>
            <w:r w:rsidRPr="00C75AD7">
              <w:rPr>
                <w:rFonts w:ascii="Arial" w:hAnsi="Arial" w:cs="Arial"/>
                <w:sz w:val="20"/>
                <w:szCs w:val="20"/>
              </w:rPr>
              <w:t xml:space="preserve"> </w:t>
            </w:r>
            <w:proofErr w:type="spellStart"/>
            <w:r w:rsidRPr="00C75AD7">
              <w:rPr>
                <w:rFonts w:ascii="Arial" w:hAnsi="Arial" w:cs="Arial"/>
                <w:sz w:val="20"/>
                <w:szCs w:val="20"/>
              </w:rPr>
              <w:t>architecture</w:t>
            </w:r>
            <w:proofErr w:type="spellEnd"/>
            <w:r w:rsidRPr="00C75AD7">
              <w:rPr>
                <w:rFonts w:ascii="Arial" w:hAnsi="Arial" w:cs="Arial"/>
                <w:sz w:val="20"/>
                <w:szCs w:val="20"/>
              </w:rPr>
              <w:t xml:space="preserve"> strategies;</w:t>
            </w:r>
          </w:p>
          <w:p w14:paraId="28DB30D3" w14:textId="77777777" w:rsidR="002E4193" w:rsidRPr="00C75AD7" w:rsidRDefault="002E4193">
            <w:pPr>
              <w:pStyle w:val="Paragrafoelenco"/>
              <w:numPr>
                <w:ilvl w:val="0"/>
                <w:numId w:val="22"/>
              </w:numPr>
              <w:ind w:left="599" w:hanging="142"/>
              <w:jc w:val="both"/>
              <w:rPr>
                <w:rFonts w:ascii="Arial" w:hAnsi="Arial" w:cs="Arial"/>
                <w:sz w:val="20"/>
                <w:szCs w:val="20"/>
              </w:rPr>
            </w:pPr>
            <w:proofErr w:type="spellStart"/>
            <w:r w:rsidRPr="00C75AD7">
              <w:rPr>
                <w:rFonts w:ascii="Arial" w:hAnsi="Arial" w:cs="Arial"/>
                <w:sz w:val="20"/>
                <w:szCs w:val="20"/>
              </w:rPr>
              <w:t>integrated</w:t>
            </w:r>
            <w:proofErr w:type="spellEnd"/>
            <w:r w:rsidRPr="00C75AD7">
              <w:rPr>
                <w:rFonts w:ascii="Arial" w:hAnsi="Arial" w:cs="Arial"/>
                <w:sz w:val="20"/>
                <w:szCs w:val="20"/>
              </w:rPr>
              <w:t xml:space="preserve"> systems </w:t>
            </w:r>
            <w:proofErr w:type="spellStart"/>
            <w:r w:rsidRPr="00C75AD7">
              <w:rPr>
                <w:rFonts w:ascii="Arial" w:hAnsi="Arial" w:cs="Arial"/>
                <w:sz w:val="20"/>
                <w:szCs w:val="20"/>
              </w:rPr>
              <w:t>solutions</w:t>
            </w:r>
            <w:proofErr w:type="spellEnd"/>
            <w:r w:rsidRPr="00C75AD7">
              <w:rPr>
                <w:rFonts w:ascii="Arial" w:hAnsi="Arial" w:cs="Arial"/>
                <w:sz w:val="20"/>
                <w:szCs w:val="20"/>
              </w:rPr>
              <w:t xml:space="preserve"> &amp; </w:t>
            </w:r>
            <w:proofErr w:type="spellStart"/>
            <w:r w:rsidRPr="00C75AD7">
              <w:rPr>
                <w:rFonts w:ascii="Arial" w:hAnsi="Arial" w:cs="Arial"/>
                <w:sz w:val="20"/>
                <w:szCs w:val="20"/>
              </w:rPr>
              <w:t>architecture</w:t>
            </w:r>
            <w:proofErr w:type="spellEnd"/>
            <w:r w:rsidRPr="00C75AD7">
              <w:rPr>
                <w:rFonts w:ascii="Arial" w:hAnsi="Arial" w:cs="Arial"/>
                <w:sz w:val="20"/>
                <w:szCs w:val="20"/>
              </w:rPr>
              <w:t>;</w:t>
            </w:r>
          </w:p>
          <w:p w14:paraId="7BECC4D2" w14:textId="77777777" w:rsidR="002E4193" w:rsidRPr="00C75AD7" w:rsidRDefault="002E4193">
            <w:pPr>
              <w:pStyle w:val="Paragrafoelenco"/>
              <w:numPr>
                <w:ilvl w:val="0"/>
                <w:numId w:val="22"/>
              </w:numPr>
              <w:ind w:left="599" w:hanging="142"/>
              <w:jc w:val="both"/>
              <w:rPr>
                <w:rFonts w:ascii="Arial" w:hAnsi="Arial" w:cs="Arial"/>
                <w:sz w:val="20"/>
                <w:szCs w:val="20"/>
              </w:rPr>
            </w:pPr>
            <w:proofErr w:type="spellStart"/>
            <w:r w:rsidRPr="00C75AD7">
              <w:rPr>
                <w:rFonts w:ascii="Arial" w:hAnsi="Arial" w:cs="Arial"/>
                <w:sz w:val="20"/>
                <w:szCs w:val="20"/>
              </w:rPr>
              <w:t>modern</w:t>
            </w:r>
            <w:proofErr w:type="spellEnd"/>
            <w:r w:rsidRPr="00C75AD7">
              <w:rPr>
                <w:rFonts w:ascii="Arial" w:hAnsi="Arial" w:cs="Arial"/>
                <w:sz w:val="20"/>
                <w:szCs w:val="20"/>
              </w:rPr>
              <w:t xml:space="preserve"> network </w:t>
            </w:r>
            <w:proofErr w:type="spellStart"/>
            <w:r w:rsidRPr="00C75AD7">
              <w:rPr>
                <w:rFonts w:ascii="Arial" w:hAnsi="Arial" w:cs="Arial"/>
                <w:sz w:val="20"/>
                <w:szCs w:val="20"/>
              </w:rPr>
              <w:t>infrastructure</w:t>
            </w:r>
            <w:proofErr w:type="spellEnd"/>
            <w:r w:rsidRPr="00C75AD7">
              <w:rPr>
                <w:rFonts w:ascii="Arial" w:hAnsi="Arial" w:cs="Arial"/>
                <w:sz w:val="20"/>
                <w:szCs w:val="20"/>
              </w:rPr>
              <w:t>;</w:t>
            </w:r>
          </w:p>
          <w:p w14:paraId="4547B901" w14:textId="77777777" w:rsidR="002E4193" w:rsidRPr="00C75AD7" w:rsidRDefault="002E4193">
            <w:pPr>
              <w:pStyle w:val="Paragrafoelenco"/>
              <w:numPr>
                <w:ilvl w:val="0"/>
                <w:numId w:val="22"/>
              </w:numPr>
              <w:ind w:left="599" w:hanging="142"/>
              <w:jc w:val="both"/>
              <w:rPr>
                <w:rFonts w:ascii="Arial" w:hAnsi="Arial" w:cs="Arial"/>
                <w:sz w:val="20"/>
                <w:szCs w:val="20"/>
              </w:rPr>
            </w:pPr>
            <w:r w:rsidRPr="00C75AD7">
              <w:rPr>
                <w:rFonts w:ascii="Arial" w:hAnsi="Arial" w:cs="Arial"/>
                <w:sz w:val="20"/>
                <w:szCs w:val="20"/>
              </w:rPr>
              <w:t>quantum computing;</w:t>
            </w:r>
          </w:p>
          <w:p w14:paraId="6B9139FF" w14:textId="77777777" w:rsidR="002E4193" w:rsidRPr="00C75AD7" w:rsidRDefault="002E4193">
            <w:pPr>
              <w:pStyle w:val="Paragrafoelenco"/>
              <w:numPr>
                <w:ilvl w:val="0"/>
                <w:numId w:val="22"/>
              </w:numPr>
              <w:ind w:left="599" w:hanging="142"/>
              <w:jc w:val="both"/>
              <w:rPr>
                <w:rFonts w:ascii="Arial" w:hAnsi="Arial" w:cs="Arial"/>
                <w:sz w:val="20"/>
                <w:szCs w:val="20"/>
                <w:lang w:val="en-US"/>
              </w:rPr>
            </w:pPr>
            <w:r w:rsidRPr="00C75AD7">
              <w:rPr>
                <w:rFonts w:ascii="Arial" w:hAnsi="Arial" w:cs="Arial"/>
                <w:sz w:val="20"/>
                <w:szCs w:val="20"/>
                <w:lang w:val="en-US"/>
              </w:rPr>
              <w:t xml:space="preserve">it </w:t>
            </w:r>
            <w:proofErr w:type="gramStart"/>
            <w:r w:rsidRPr="00C75AD7">
              <w:rPr>
                <w:rFonts w:ascii="Arial" w:hAnsi="Arial" w:cs="Arial"/>
                <w:sz w:val="20"/>
                <w:szCs w:val="20"/>
                <w:lang w:val="en-US"/>
              </w:rPr>
              <w:t>service</w:t>
            </w:r>
            <w:proofErr w:type="gramEnd"/>
            <w:r w:rsidRPr="00C75AD7">
              <w:rPr>
                <w:rFonts w:ascii="Arial" w:hAnsi="Arial" w:cs="Arial"/>
                <w:sz w:val="20"/>
                <w:szCs w:val="20"/>
                <w:lang w:val="en-US"/>
              </w:rPr>
              <w:t xml:space="preserve"> continuity &amp; disaster </w:t>
            </w:r>
            <w:proofErr w:type="gramStart"/>
            <w:r w:rsidRPr="00C75AD7">
              <w:rPr>
                <w:rFonts w:ascii="Arial" w:hAnsi="Arial" w:cs="Arial"/>
                <w:sz w:val="20"/>
                <w:szCs w:val="20"/>
                <w:lang w:val="en-US"/>
              </w:rPr>
              <w:t>recovery;</w:t>
            </w:r>
            <w:proofErr w:type="gramEnd"/>
          </w:p>
          <w:p w14:paraId="3D6AD549" w14:textId="77777777" w:rsidR="002E4193" w:rsidRPr="00C75AD7" w:rsidRDefault="002E4193">
            <w:pPr>
              <w:pStyle w:val="Paragrafoelenco"/>
              <w:numPr>
                <w:ilvl w:val="0"/>
                <w:numId w:val="22"/>
              </w:numPr>
              <w:ind w:left="599" w:hanging="142"/>
              <w:jc w:val="both"/>
              <w:rPr>
                <w:rFonts w:ascii="Arial" w:hAnsi="Arial" w:cs="Arial"/>
                <w:bCs/>
                <w:sz w:val="20"/>
                <w:szCs w:val="20"/>
              </w:rPr>
            </w:pPr>
            <w:r w:rsidRPr="00C75AD7">
              <w:rPr>
                <w:rFonts w:ascii="Arial" w:hAnsi="Arial" w:cs="Arial"/>
                <w:sz w:val="20"/>
                <w:szCs w:val="20"/>
              </w:rPr>
              <w:t xml:space="preserve">containers / </w:t>
            </w:r>
            <w:proofErr w:type="spellStart"/>
            <w:r w:rsidRPr="00C75AD7">
              <w:rPr>
                <w:rFonts w:ascii="Arial" w:hAnsi="Arial" w:cs="Arial"/>
                <w:sz w:val="20"/>
                <w:szCs w:val="20"/>
              </w:rPr>
              <w:t>kubernetes</w:t>
            </w:r>
            <w:proofErr w:type="spellEnd"/>
            <w:r w:rsidRPr="00C75AD7">
              <w:rPr>
                <w:rFonts w:ascii="Arial" w:hAnsi="Arial" w:cs="Arial"/>
                <w:sz w:val="20"/>
                <w:szCs w:val="20"/>
              </w:rPr>
              <w:t>;</w:t>
            </w:r>
          </w:p>
          <w:p w14:paraId="46852FDB" w14:textId="77777777" w:rsidR="002E4193" w:rsidRPr="00C75AD7" w:rsidRDefault="002E4193">
            <w:pPr>
              <w:pStyle w:val="Paragrafoelenco"/>
              <w:numPr>
                <w:ilvl w:val="0"/>
                <w:numId w:val="22"/>
              </w:numPr>
              <w:ind w:left="599" w:hanging="142"/>
              <w:jc w:val="both"/>
              <w:rPr>
                <w:rFonts w:ascii="Arial" w:hAnsi="Arial" w:cs="Arial"/>
                <w:bCs/>
                <w:sz w:val="20"/>
                <w:szCs w:val="20"/>
                <w:lang w:val="en-US"/>
              </w:rPr>
            </w:pPr>
            <w:r w:rsidRPr="00C75AD7">
              <w:rPr>
                <w:rFonts w:ascii="Arial" w:hAnsi="Arial" w:cs="Arial"/>
                <w:sz w:val="20"/>
                <w:szCs w:val="20"/>
                <w:lang w:val="en-US"/>
              </w:rPr>
              <w:t>5G and private mobile networks;</w:t>
            </w:r>
          </w:p>
        </w:tc>
        <w:tc>
          <w:tcPr>
            <w:tcW w:w="419" w:type="dxa"/>
          </w:tcPr>
          <w:p w14:paraId="7E89B255" w14:textId="77777777" w:rsidR="002E4193" w:rsidRPr="00C75AD7" w:rsidRDefault="002E4193" w:rsidP="00094E41">
            <w:pPr>
              <w:spacing w:line="360" w:lineRule="auto"/>
              <w:jc w:val="both"/>
              <w:rPr>
                <w:rFonts w:ascii="Arial" w:hAnsi="Arial" w:cs="Arial"/>
                <w:bCs/>
                <w:i/>
                <w:sz w:val="20"/>
                <w:szCs w:val="20"/>
                <w:highlight w:val="green"/>
                <w:lang w:val="en-US"/>
              </w:rPr>
            </w:pPr>
          </w:p>
        </w:tc>
      </w:tr>
      <w:tr w:rsidR="002E4193" w:rsidRPr="00C66F03" w14:paraId="30891B6F" w14:textId="77777777" w:rsidTr="00094E41">
        <w:tc>
          <w:tcPr>
            <w:tcW w:w="1440" w:type="dxa"/>
            <w:vMerge/>
          </w:tcPr>
          <w:p w14:paraId="135DC0A4" w14:textId="77777777" w:rsidR="002E4193" w:rsidRPr="00C75AD7" w:rsidRDefault="002E4193" w:rsidP="00094E41">
            <w:pPr>
              <w:autoSpaceDE w:val="0"/>
              <w:autoSpaceDN w:val="0"/>
              <w:adjustRightInd w:val="0"/>
              <w:snapToGrid w:val="0"/>
              <w:rPr>
                <w:rFonts w:ascii="Arial" w:hAnsi="Arial" w:cs="Arial"/>
                <w:sz w:val="20"/>
                <w:szCs w:val="20"/>
                <w:lang w:val="en-US"/>
              </w:rPr>
            </w:pPr>
          </w:p>
        </w:tc>
        <w:tc>
          <w:tcPr>
            <w:tcW w:w="5920" w:type="dxa"/>
            <w:vAlign w:val="center"/>
          </w:tcPr>
          <w:p w14:paraId="0EB412D2" w14:textId="77777777" w:rsidR="002E4193" w:rsidRPr="00C75AD7" w:rsidRDefault="002E4193">
            <w:pPr>
              <w:pStyle w:val="Paragrafoelenco"/>
              <w:numPr>
                <w:ilvl w:val="0"/>
                <w:numId w:val="22"/>
              </w:numPr>
              <w:ind w:left="315" w:hanging="141"/>
              <w:jc w:val="both"/>
              <w:rPr>
                <w:rFonts w:ascii="Arial" w:hAnsi="Arial" w:cs="Arial"/>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IT Operations &amp; Cloud Management</w:t>
            </w:r>
            <w:r w:rsidRPr="00C75AD7">
              <w:rPr>
                <w:rFonts w:ascii="Arial" w:hAnsi="Arial" w:cs="Arial"/>
                <w:sz w:val="20"/>
                <w:szCs w:val="20"/>
                <w:lang w:val="en-US"/>
              </w:rPr>
              <w:t>:</w:t>
            </w:r>
          </w:p>
          <w:p w14:paraId="2D42C175"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&amp; dc mgmt. </w:t>
            </w:r>
            <w:proofErr w:type="gramStart"/>
            <w:r w:rsidRPr="00C75AD7">
              <w:rPr>
                <w:rFonts w:ascii="Arial" w:hAnsi="Arial" w:cs="Arial"/>
                <w:sz w:val="20"/>
                <w:szCs w:val="20"/>
                <w:lang w:val="en-US"/>
              </w:rPr>
              <w:t>platforms;</w:t>
            </w:r>
            <w:proofErr w:type="gramEnd"/>
          </w:p>
          <w:p w14:paraId="75045DB2" w14:textId="77777777" w:rsidR="002E4193" w:rsidRPr="00C75AD7" w:rsidRDefault="002E4193">
            <w:pPr>
              <w:pStyle w:val="Paragrafoelenco"/>
              <w:numPr>
                <w:ilvl w:val="0"/>
                <w:numId w:val="22"/>
              </w:numPr>
              <w:jc w:val="both"/>
              <w:rPr>
                <w:rFonts w:ascii="Arial" w:hAnsi="Arial" w:cs="Arial"/>
                <w:sz w:val="20"/>
                <w:szCs w:val="20"/>
                <w:lang w:val="en-US"/>
              </w:rPr>
            </w:pPr>
            <w:proofErr w:type="spellStart"/>
            <w:r w:rsidRPr="00C75AD7">
              <w:rPr>
                <w:rFonts w:ascii="Arial" w:hAnsi="Arial" w:cs="Arial"/>
                <w:sz w:val="20"/>
                <w:szCs w:val="20"/>
                <w:lang w:val="en-US"/>
              </w:rPr>
              <w:t>devops</w:t>
            </w:r>
            <w:proofErr w:type="spellEnd"/>
            <w:r w:rsidRPr="00C75AD7">
              <w:rPr>
                <w:rFonts w:ascii="Arial" w:hAnsi="Arial" w:cs="Arial"/>
                <w:sz w:val="20"/>
                <w:szCs w:val="20"/>
                <w:lang w:val="en-US"/>
              </w:rPr>
              <w:t xml:space="preserve">, </w:t>
            </w:r>
            <w:proofErr w:type="spellStart"/>
            <w:r w:rsidRPr="00C75AD7">
              <w:rPr>
                <w:rFonts w:ascii="Arial" w:hAnsi="Arial" w:cs="Arial"/>
                <w:sz w:val="20"/>
                <w:szCs w:val="20"/>
                <w:lang w:val="en-US"/>
              </w:rPr>
              <w:t>platformops</w:t>
            </w:r>
            <w:proofErr w:type="spellEnd"/>
            <w:r w:rsidRPr="00C75AD7">
              <w:rPr>
                <w:rFonts w:ascii="Arial" w:hAnsi="Arial" w:cs="Arial"/>
                <w:sz w:val="20"/>
                <w:szCs w:val="20"/>
                <w:lang w:val="en-US"/>
              </w:rPr>
              <w:t xml:space="preserve">, </w:t>
            </w:r>
            <w:proofErr w:type="spellStart"/>
            <w:r w:rsidRPr="00C75AD7">
              <w:rPr>
                <w:rFonts w:ascii="Arial" w:hAnsi="Arial" w:cs="Arial"/>
                <w:sz w:val="20"/>
                <w:szCs w:val="20"/>
                <w:lang w:val="en-US"/>
              </w:rPr>
              <w:t>aiops</w:t>
            </w:r>
            <w:proofErr w:type="spellEnd"/>
            <w:r w:rsidRPr="00C75AD7">
              <w:rPr>
                <w:rFonts w:ascii="Arial" w:hAnsi="Arial" w:cs="Arial"/>
                <w:sz w:val="20"/>
                <w:szCs w:val="20"/>
                <w:lang w:val="en-US"/>
              </w:rPr>
              <w:t xml:space="preserve">, </w:t>
            </w:r>
            <w:proofErr w:type="spellStart"/>
            <w:proofErr w:type="gramStart"/>
            <w:r w:rsidRPr="00C75AD7">
              <w:rPr>
                <w:rFonts w:ascii="Arial" w:hAnsi="Arial" w:cs="Arial"/>
                <w:sz w:val="20"/>
                <w:szCs w:val="20"/>
                <w:lang w:val="en-US"/>
              </w:rPr>
              <w:t>sre</w:t>
            </w:r>
            <w:proofErr w:type="spellEnd"/>
            <w:r w:rsidRPr="00C75AD7">
              <w:rPr>
                <w:rFonts w:ascii="Arial" w:hAnsi="Arial" w:cs="Arial"/>
                <w:sz w:val="20"/>
                <w:szCs w:val="20"/>
                <w:lang w:val="en-US"/>
              </w:rPr>
              <w:t>;</w:t>
            </w:r>
            <w:proofErr w:type="gramEnd"/>
          </w:p>
          <w:p w14:paraId="438B7EB5"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infrastructure &amp; application </w:t>
            </w:r>
            <w:proofErr w:type="gramStart"/>
            <w:r w:rsidRPr="00C75AD7">
              <w:rPr>
                <w:rFonts w:ascii="Arial" w:hAnsi="Arial" w:cs="Arial"/>
                <w:sz w:val="20"/>
                <w:szCs w:val="20"/>
                <w:lang w:val="en-US"/>
              </w:rPr>
              <w:t>observability;</w:t>
            </w:r>
            <w:proofErr w:type="gramEnd"/>
          </w:p>
          <w:p w14:paraId="5988C822"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IT service </w:t>
            </w:r>
            <w:proofErr w:type="gramStart"/>
            <w:r w:rsidRPr="00C75AD7">
              <w:rPr>
                <w:rFonts w:ascii="Arial" w:hAnsi="Arial" w:cs="Arial"/>
                <w:sz w:val="20"/>
                <w:szCs w:val="20"/>
                <w:lang w:val="en-US"/>
              </w:rPr>
              <w:t>management;</w:t>
            </w:r>
            <w:proofErr w:type="gramEnd"/>
          </w:p>
          <w:p w14:paraId="6F72AD25"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adoption &amp; </w:t>
            </w:r>
            <w:proofErr w:type="gramStart"/>
            <w:r w:rsidRPr="00C75AD7">
              <w:rPr>
                <w:rFonts w:ascii="Arial" w:hAnsi="Arial" w:cs="Arial"/>
                <w:sz w:val="20"/>
                <w:szCs w:val="20"/>
                <w:lang w:val="en-US"/>
              </w:rPr>
              <w:t>governance;</w:t>
            </w:r>
            <w:proofErr w:type="gramEnd"/>
          </w:p>
          <w:p w14:paraId="1D695AC1"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automation </w:t>
            </w:r>
            <w:proofErr w:type="gramStart"/>
            <w:r w:rsidRPr="00C75AD7">
              <w:rPr>
                <w:rFonts w:ascii="Arial" w:hAnsi="Arial" w:cs="Arial"/>
                <w:sz w:val="20"/>
                <w:szCs w:val="20"/>
                <w:lang w:val="en-US"/>
              </w:rPr>
              <w:t>technologies;</w:t>
            </w:r>
            <w:proofErr w:type="gramEnd"/>
          </w:p>
          <w:p w14:paraId="6DCB70C2"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capacity planning / cost </w:t>
            </w:r>
            <w:proofErr w:type="gramStart"/>
            <w:r w:rsidRPr="00C75AD7">
              <w:rPr>
                <w:rFonts w:ascii="Arial" w:hAnsi="Arial" w:cs="Arial"/>
                <w:sz w:val="20"/>
                <w:szCs w:val="20"/>
                <w:lang w:val="en-US"/>
              </w:rPr>
              <w:t>optimization;</w:t>
            </w:r>
            <w:proofErr w:type="gramEnd"/>
          </w:p>
          <w:p w14:paraId="30B1A9BB"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w:t>
            </w:r>
            <w:proofErr w:type="gramStart"/>
            <w:r w:rsidRPr="00C75AD7">
              <w:rPr>
                <w:rFonts w:ascii="Arial" w:hAnsi="Arial" w:cs="Arial"/>
                <w:sz w:val="20"/>
                <w:szCs w:val="20"/>
                <w:lang w:val="en-US"/>
              </w:rPr>
              <w:t>computing;</w:t>
            </w:r>
            <w:proofErr w:type="gramEnd"/>
          </w:p>
          <w:p w14:paraId="2AC92A1A"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w:t>
            </w:r>
            <w:proofErr w:type="gramStart"/>
            <w:r w:rsidRPr="00C75AD7">
              <w:rPr>
                <w:rFonts w:ascii="Arial" w:hAnsi="Arial" w:cs="Arial"/>
                <w:sz w:val="20"/>
                <w:szCs w:val="20"/>
                <w:lang w:val="en-US"/>
              </w:rPr>
              <w:t>strategy;</w:t>
            </w:r>
            <w:proofErr w:type="gramEnd"/>
          </w:p>
          <w:p w14:paraId="0260DFA5"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roles, </w:t>
            </w:r>
            <w:proofErr w:type="spellStart"/>
            <w:r w:rsidRPr="00C75AD7">
              <w:rPr>
                <w:rFonts w:ascii="Arial" w:hAnsi="Arial" w:cs="Arial"/>
                <w:sz w:val="20"/>
                <w:szCs w:val="20"/>
                <w:lang w:val="en-US"/>
              </w:rPr>
              <w:t>coe</w:t>
            </w:r>
            <w:proofErr w:type="spellEnd"/>
            <w:r w:rsidRPr="00C75AD7">
              <w:rPr>
                <w:rFonts w:ascii="Arial" w:hAnsi="Arial" w:cs="Arial"/>
                <w:sz w:val="20"/>
                <w:szCs w:val="20"/>
                <w:lang w:val="en-US"/>
              </w:rPr>
              <w:t xml:space="preserve">, operations </w:t>
            </w:r>
            <w:proofErr w:type="gramStart"/>
            <w:r w:rsidRPr="00C75AD7">
              <w:rPr>
                <w:rFonts w:ascii="Arial" w:hAnsi="Arial" w:cs="Arial"/>
                <w:sz w:val="20"/>
                <w:szCs w:val="20"/>
                <w:lang w:val="en-US"/>
              </w:rPr>
              <w:t>models;</w:t>
            </w:r>
            <w:proofErr w:type="gramEnd"/>
          </w:p>
          <w:p w14:paraId="59707942"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adoption / business </w:t>
            </w:r>
            <w:proofErr w:type="gramStart"/>
            <w:r w:rsidRPr="00C75AD7">
              <w:rPr>
                <w:rFonts w:ascii="Arial" w:hAnsi="Arial" w:cs="Arial"/>
                <w:sz w:val="20"/>
                <w:szCs w:val="20"/>
                <w:lang w:val="en-US"/>
              </w:rPr>
              <w:t>case;</w:t>
            </w:r>
            <w:proofErr w:type="gramEnd"/>
          </w:p>
          <w:p w14:paraId="4AE8BB49"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selecting cloud </w:t>
            </w:r>
            <w:proofErr w:type="gramStart"/>
            <w:r w:rsidRPr="00C75AD7">
              <w:rPr>
                <w:rFonts w:ascii="Arial" w:hAnsi="Arial" w:cs="Arial"/>
                <w:sz w:val="20"/>
                <w:szCs w:val="20"/>
                <w:lang w:val="en-US"/>
              </w:rPr>
              <w:t>providers;</w:t>
            </w:r>
            <w:proofErr w:type="gramEnd"/>
          </w:p>
          <w:p w14:paraId="5D65B5FC"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cloud exit </w:t>
            </w:r>
            <w:proofErr w:type="gramStart"/>
            <w:r w:rsidRPr="00C75AD7">
              <w:rPr>
                <w:rFonts w:ascii="Arial" w:hAnsi="Arial" w:cs="Arial"/>
                <w:sz w:val="20"/>
                <w:szCs w:val="20"/>
                <w:lang w:val="en-US"/>
              </w:rPr>
              <w:t>strategy;</w:t>
            </w:r>
            <w:proofErr w:type="gramEnd"/>
          </w:p>
          <w:p w14:paraId="220375EA"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hybrid / </w:t>
            </w:r>
            <w:proofErr w:type="spellStart"/>
            <w:r w:rsidRPr="00C75AD7">
              <w:rPr>
                <w:rFonts w:ascii="Arial" w:hAnsi="Arial" w:cs="Arial"/>
                <w:sz w:val="20"/>
                <w:szCs w:val="20"/>
                <w:lang w:val="en-US"/>
              </w:rPr>
              <w:t>multicloud</w:t>
            </w:r>
            <w:proofErr w:type="spellEnd"/>
            <w:r w:rsidRPr="00C75AD7">
              <w:rPr>
                <w:rFonts w:ascii="Arial" w:hAnsi="Arial" w:cs="Arial"/>
                <w:sz w:val="20"/>
                <w:szCs w:val="20"/>
                <w:lang w:val="en-US"/>
              </w:rPr>
              <w:t xml:space="preserve"> </w:t>
            </w:r>
            <w:proofErr w:type="gramStart"/>
            <w:r w:rsidRPr="00C75AD7">
              <w:rPr>
                <w:rFonts w:ascii="Arial" w:hAnsi="Arial" w:cs="Arial"/>
                <w:sz w:val="20"/>
                <w:szCs w:val="20"/>
                <w:lang w:val="en-US"/>
              </w:rPr>
              <w:t>strategy;</w:t>
            </w:r>
            <w:proofErr w:type="gramEnd"/>
          </w:p>
          <w:p w14:paraId="79CF6506"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edge computing &amp; emerging technologies</w:t>
            </w:r>
          </w:p>
          <w:p w14:paraId="2463A146" w14:textId="77777777" w:rsidR="002E4193" w:rsidRPr="00C75AD7" w:rsidRDefault="002E4193">
            <w:pPr>
              <w:pStyle w:val="Paragrafoelenco"/>
              <w:numPr>
                <w:ilvl w:val="0"/>
                <w:numId w:val="22"/>
              </w:numPr>
              <w:ind w:left="315" w:hanging="142"/>
              <w:jc w:val="both"/>
              <w:rPr>
                <w:rFonts w:ascii="Arial" w:hAnsi="Arial" w:cs="Arial"/>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Identity &amp; Access Management:</w:t>
            </w:r>
          </w:p>
          <w:p w14:paraId="1D2ECB48"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Authentication / Authorization</w:t>
            </w:r>
          </w:p>
          <w:p w14:paraId="27393C42"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lastRenderedPageBreak/>
              <w:t>IAM for Cloud-Based Users, Apps, Devices</w:t>
            </w:r>
          </w:p>
          <w:p w14:paraId="59C9852B"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Managing Identities &amp; Access Rights</w:t>
            </w:r>
          </w:p>
          <w:p w14:paraId="2306B09E"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Architecting an Integrated Identity Fabric</w:t>
            </w:r>
          </w:p>
          <w:p w14:paraId="52B269C0" w14:textId="77777777" w:rsidR="002E4193" w:rsidRPr="00C75AD7" w:rsidRDefault="002E4193">
            <w:pPr>
              <w:pStyle w:val="Paragrafoelenco"/>
              <w:numPr>
                <w:ilvl w:val="0"/>
                <w:numId w:val="22"/>
              </w:numPr>
              <w:ind w:left="315" w:hanging="142"/>
              <w:jc w:val="both"/>
              <w:rPr>
                <w:rFonts w:ascii="Arial" w:hAnsi="Arial" w:cs="Arial"/>
                <w:i/>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Security Technology &amp; Infrastructure:</w:t>
            </w:r>
          </w:p>
          <w:p w14:paraId="218FC81D"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Application Security </w:t>
            </w:r>
          </w:p>
          <w:p w14:paraId="23FCC073"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API Security</w:t>
            </w:r>
          </w:p>
          <w:p w14:paraId="326FD34B"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Cloud Platform Security</w:t>
            </w:r>
          </w:p>
          <w:p w14:paraId="0709C415"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Container Security</w:t>
            </w:r>
          </w:p>
          <w:p w14:paraId="1CB41952"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Cyber Security Mesh Architecture</w:t>
            </w:r>
          </w:p>
          <w:p w14:paraId="443C2166"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Data Loss Prevention</w:t>
            </w:r>
          </w:p>
          <w:p w14:paraId="51DA3240"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Data Security </w:t>
            </w:r>
          </w:p>
          <w:p w14:paraId="3AC6A62E"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Email, Collaboration Security</w:t>
            </w:r>
          </w:p>
          <w:p w14:paraId="71E1FFE2"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Endpoint Protection</w:t>
            </w:r>
          </w:p>
          <w:p w14:paraId="062284C1"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Infrastructure Security</w:t>
            </w:r>
          </w:p>
          <w:p w14:paraId="754B9921"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Mobile Security  </w:t>
            </w:r>
          </w:p>
          <w:p w14:paraId="703E8FF4"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 xml:space="preserve">Network Security </w:t>
            </w:r>
          </w:p>
          <w:p w14:paraId="2B258558"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Ransomware Defense</w:t>
            </w:r>
          </w:p>
          <w:p w14:paraId="597944A1"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Security Architectures</w:t>
            </w:r>
          </w:p>
          <w:p w14:paraId="1C4AAF27" w14:textId="77777777" w:rsidR="002E4193" w:rsidRPr="00C75AD7" w:rsidRDefault="002E4193">
            <w:pPr>
              <w:pStyle w:val="Paragrafoelenco"/>
              <w:numPr>
                <w:ilvl w:val="0"/>
                <w:numId w:val="22"/>
              </w:numPr>
              <w:jc w:val="both"/>
              <w:rPr>
                <w:rFonts w:ascii="Arial" w:hAnsi="Arial" w:cs="Arial"/>
                <w:sz w:val="20"/>
                <w:szCs w:val="20"/>
                <w:lang w:val="en-US"/>
              </w:rPr>
            </w:pPr>
            <w:r w:rsidRPr="00C75AD7">
              <w:rPr>
                <w:rFonts w:ascii="Arial" w:hAnsi="Arial" w:cs="Arial"/>
                <w:sz w:val="20"/>
                <w:szCs w:val="20"/>
                <w:lang w:val="en-US"/>
              </w:rPr>
              <w:t>Web Security</w:t>
            </w:r>
          </w:p>
          <w:p w14:paraId="782E3CC3" w14:textId="77777777" w:rsidR="002E4193" w:rsidRPr="00C75AD7" w:rsidRDefault="002E4193">
            <w:pPr>
              <w:pStyle w:val="Paragrafoelenco"/>
              <w:numPr>
                <w:ilvl w:val="0"/>
                <w:numId w:val="22"/>
              </w:numPr>
              <w:autoSpaceDE w:val="0"/>
              <w:autoSpaceDN w:val="0"/>
              <w:adjustRightInd w:val="0"/>
              <w:snapToGrid w:val="0"/>
              <w:ind w:left="315" w:hanging="142"/>
              <w:rPr>
                <w:rFonts w:ascii="Arial" w:hAnsi="Arial" w:cs="Arial"/>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Security Operation:</w:t>
            </w:r>
          </w:p>
          <w:p w14:paraId="20DDFDA0"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Assessing, Managing, &amp; Prioritizing Vulnerabilities</w:t>
            </w:r>
          </w:p>
          <w:p w14:paraId="7F57B578"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Incident Response Programs</w:t>
            </w:r>
          </w:p>
          <w:p w14:paraId="62D9AE55"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 xml:space="preserve">Security Operations Tools &amp; Services </w:t>
            </w:r>
          </w:p>
          <w:p w14:paraId="5401E8E4"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Threat Detection &amp; Response</w:t>
            </w:r>
          </w:p>
          <w:p w14:paraId="68504FE3" w14:textId="77777777" w:rsidR="002E4193" w:rsidRPr="00C75AD7" w:rsidRDefault="002E4193">
            <w:pPr>
              <w:pStyle w:val="Paragrafoelenco"/>
              <w:numPr>
                <w:ilvl w:val="0"/>
                <w:numId w:val="22"/>
              </w:numPr>
              <w:ind w:left="316" w:hanging="142"/>
              <w:rPr>
                <w:rFonts w:ascii="Arial" w:hAnsi="Arial" w:cs="Arial"/>
                <w:i/>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Application Development:</w:t>
            </w:r>
          </w:p>
          <w:p w14:paraId="6C15A83B"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App. Development Processes &amp; Practices</w:t>
            </w:r>
          </w:p>
          <w:p w14:paraId="15E3C770"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Accelerating Software Delivery</w:t>
            </w:r>
          </w:p>
          <w:p w14:paraId="5E66CBA8"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Software Quality</w:t>
            </w:r>
          </w:p>
          <w:p w14:paraId="289FE02C"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Frameworks &amp; Tools for Mobile and Web Apps</w:t>
            </w:r>
          </w:p>
          <w:p w14:paraId="1867C04B" w14:textId="77777777" w:rsidR="002E4193" w:rsidRPr="00C75AD7" w:rsidRDefault="002E4193">
            <w:pPr>
              <w:pStyle w:val="Paragrafoelenco"/>
              <w:numPr>
                <w:ilvl w:val="0"/>
                <w:numId w:val="22"/>
              </w:numPr>
              <w:autoSpaceDE w:val="0"/>
              <w:autoSpaceDN w:val="0"/>
              <w:adjustRightInd w:val="0"/>
              <w:snapToGrid w:val="0"/>
              <w:ind w:left="316" w:hanging="142"/>
              <w:rPr>
                <w:rFonts w:ascii="Arial" w:hAnsi="Arial" w:cs="Arial"/>
                <w:i/>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Collaboration &amp; End-User Technologies:</w:t>
            </w:r>
          </w:p>
          <w:p w14:paraId="5F48BB96"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Microsoft 365, Exchange Online, SharePoint</w:t>
            </w:r>
          </w:p>
          <w:p w14:paraId="04514821"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Enterprise Content Mgmt. / Enterprise Search</w:t>
            </w:r>
          </w:p>
          <w:p w14:paraId="3D48DD46"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Cloud Office Suites and Services</w:t>
            </w:r>
          </w:p>
          <w:p w14:paraId="2F5DA49E"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Desktop Virtualization and Endpoint Management</w:t>
            </w:r>
          </w:p>
          <w:p w14:paraId="3681013D" w14:textId="77777777" w:rsidR="002E4193" w:rsidRPr="00C75AD7" w:rsidRDefault="002E4193">
            <w:pPr>
              <w:pStyle w:val="Paragrafoelenco"/>
              <w:numPr>
                <w:ilvl w:val="0"/>
                <w:numId w:val="22"/>
              </w:numPr>
              <w:autoSpaceDE w:val="0"/>
              <w:autoSpaceDN w:val="0"/>
              <w:adjustRightInd w:val="0"/>
              <w:snapToGrid w:val="0"/>
              <w:ind w:left="316" w:firstLine="0"/>
              <w:rPr>
                <w:rFonts w:ascii="Arial" w:hAnsi="Arial" w:cs="Arial"/>
                <w:i/>
                <w:sz w:val="20"/>
                <w:szCs w:val="20"/>
                <w:lang w:val="en-US"/>
              </w:rPr>
            </w:pPr>
            <w:proofErr w:type="spellStart"/>
            <w:r w:rsidRPr="00C75AD7">
              <w:rPr>
                <w:rFonts w:ascii="Arial" w:hAnsi="Arial" w:cs="Arial"/>
                <w:i/>
                <w:sz w:val="20"/>
                <w:szCs w:val="20"/>
                <w:lang w:val="en-US"/>
              </w:rPr>
              <w:t>ambito</w:t>
            </w:r>
            <w:proofErr w:type="spellEnd"/>
            <w:r w:rsidRPr="00C75AD7">
              <w:rPr>
                <w:rFonts w:ascii="Arial" w:hAnsi="Arial" w:cs="Arial"/>
                <w:i/>
                <w:sz w:val="20"/>
                <w:szCs w:val="20"/>
                <w:lang w:val="en-US"/>
              </w:rPr>
              <w:t xml:space="preserve"> Unified Communications, Meetings and Telephony</w:t>
            </w:r>
          </w:p>
          <w:p w14:paraId="0E1951B6"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artificial intelligence &amp; machine learning</w:t>
            </w:r>
          </w:p>
          <w:p w14:paraId="7C6070B4"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natural language techniques, text mining, conversational platforms</w:t>
            </w:r>
          </w:p>
          <w:p w14:paraId="1AD0B56F"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computer vision</w:t>
            </w:r>
          </w:p>
          <w:p w14:paraId="53CD2988"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proofErr w:type="spellStart"/>
            <w:r w:rsidRPr="00C75AD7">
              <w:rPr>
                <w:rFonts w:ascii="Arial" w:hAnsi="Arial" w:cs="Arial"/>
                <w:sz w:val="20"/>
                <w:szCs w:val="20"/>
                <w:lang w:val="en-US"/>
              </w:rPr>
              <w:t>xops</w:t>
            </w:r>
            <w:proofErr w:type="spellEnd"/>
            <w:r w:rsidRPr="00C75AD7">
              <w:rPr>
                <w:rFonts w:ascii="Arial" w:hAnsi="Arial" w:cs="Arial"/>
                <w:sz w:val="20"/>
                <w:szCs w:val="20"/>
                <w:lang w:val="en-US"/>
              </w:rPr>
              <w:t xml:space="preserve"> – </w:t>
            </w:r>
            <w:proofErr w:type="spellStart"/>
            <w:r w:rsidRPr="00C75AD7">
              <w:rPr>
                <w:rFonts w:ascii="Arial" w:hAnsi="Arial" w:cs="Arial"/>
                <w:sz w:val="20"/>
                <w:szCs w:val="20"/>
                <w:lang w:val="en-US"/>
              </w:rPr>
              <w:t>dataops</w:t>
            </w:r>
            <w:proofErr w:type="spellEnd"/>
            <w:r w:rsidRPr="00C75AD7">
              <w:rPr>
                <w:rFonts w:ascii="Arial" w:hAnsi="Arial" w:cs="Arial"/>
                <w:sz w:val="20"/>
                <w:szCs w:val="20"/>
                <w:lang w:val="en-US"/>
              </w:rPr>
              <w:t xml:space="preserve">, </w:t>
            </w:r>
            <w:proofErr w:type="spellStart"/>
            <w:r w:rsidRPr="00C75AD7">
              <w:rPr>
                <w:rFonts w:ascii="Arial" w:hAnsi="Arial" w:cs="Arial"/>
                <w:sz w:val="20"/>
                <w:szCs w:val="20"/>
                <w:lang w:val="en-US"/>
              </w:rPr>
              <w:t>mlops</w:t>
            </w:r>
            <w:proofErr w:type="spellEnd"/>
            <w:r w:rsidRPr="00C75AD7">
              <w:rPr>
                <w:rFonts w:ascii="Arial" w:hAnsi="Arial" w:cs="Arial"/>
                <w:sz w:val="20"/>
                <w:szCs w:val="20"/>
                <w:lang w:val="en-US"/>
              </w:rPr>
              <w:t xml:space="preserve"> &amp; </w:t>
            </w:r>
            <w:proofErr w:type="spellStart"/>
            <w:r w:rsidRPr="00C75AD7">
              <w:rPr>
                <w:rFonts w:ascii="Arial" w:hAnsi="Arial" w:cs="Arial"/>
                <w:sz w:val="20"/>
                <w:szCs w:val="20"/>
                <w:lang w:val="en-US"/>
              </w:rPr>
              <w:t>modelops</w:t>
            </w:r>
            <w:proofErr w:type="spellEnd"/>
          </w:p>
          <w:p w14:paraId="00BF27D1"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data discovery, visualization</w:t>
            </w:r>
          </w:p>
          <w:p w14:paraId="4067357F"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business intelligence</w:t>
            </w:r>
          </w:p>
          <w:p w14:paraId="527C284C"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self-service analytics &amp; augmented analytics</w:t>
            </w:r>
          </w:p>
          <w:p w14:paraId="0022C4C7"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digital engineering</w:t>
            </w:r>
          </w:p>
          <w:p w14:paraId="50E3BF9D"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IoT Analytic Solutions</w:t>
            </w:r>
          </w:p>
          <w:p w14:paraId="4C3AC227" w14:textId="77777777" w:rsidR="002E4193" w:rsidRPr="00C75AD7" w:rsidRDefault="002E4193">
            <w:pPr>
              <w:pStyle w:val="Paragrafoelenco"/>
              <w:numPr>
                <w:ilvl w:val="0"/>
                <w:numId w:val="22"/>
              </w:numPr>
              <w:autoSpaceDE w:val="0"/>
              <w:autoSpaceDN w:val="0"/>
              <w:adjustRightInd w:val="0"/>
              <w:snapToGrid w:val="0"/>
              <w:rPr>
                <w:rFonts w:ascii="Arial" w:hAnsi="Arial" w:cs="Arial"/>
                <w:sz w:val="20"/>
                <w:szCs w:val="20"/>
                <w:lang w:val="en-US"/>
              </w:rPr>
            </w:pPr>
            <w:r w:rsidRPr="00C75AD7">
              <w:rPr>
                <w:rFonts w:ascii="Arial" w:hAnsi="Arial" w:cs="Arial"/>
                <w:sz w:val="20"/>
                <w:szCs w:val="20"/>
                <w:lang w:val="en-US"/>
              </w:rPr>
              <w:t>Edge AI</w:t>
            </w:r>
          </w:p>
        </w:tc>
        <w:tc>
          <w:tcPr>
            <w:tcW w:w="419" w:type="dxa"/>
          </w:tcPr>
          <w:p w14:paraId="05372B69" w14:textId="77777777" w:rsidR="002E4193" w:rsidRPr="00C75AD7" w:rsidRDefault="002E4193" w:rsidP="00094E41">
            <w:pPr>
              <w:spacing w:line="360" w:lineRule="auto"/>
              <w:jc w:val="both"/>
              <w:rPr>
                <w:rFonts w:ascii="Arial" w:hAnsi="Arial" w:cs="Arial"/>
                <w:bCs/>
                <w:i/>
                <w:sz w:val="20"/>
                <w:szCs w:val="20"/>
                <w:highlight w:val="green"/>
                <w:lang w:val="en-US"/>
              </w:rPr>
            </w:pPr>
          </w:p>
        </w:tc>
      </w:tr>
    </w:tbl>
    <w:p w14:paraId="16EE4552" w14:textId="77777777" w:rsidR="002E4193" w:rsidRPr="00C75AD7" w:rsidRDefault="002E4193" w:rsidP="002E4193">
      <w:pPr>
        <w:rPr>
          <w:rFonts w:ascii="Arial" w:hAnsi="Arial" w:cs="Arial"/>
        </w:rPr>
      </w:pPr>
    </w:p>
    <w:p w14:paraId="6A7F9930" w14:textId="77777777" w:rsidR="002E4193" w:rsidRPr="00C75AD7" w:rsidRDefault="002E4193">
      <w:pPr>
        <w:pStyle w:val="Paragrafoelenco"/>
        <w:spacing w:after="120"/>
        <w:ind w:left="357"/>
        <w:jc w:val="both"/>
        <w:rPr>
          <w:rFonts w:ascii="Arial" w:hAnsi="Arial" w:cs="Arial"/>
        </w:rPr>
      </w:pPr>
      <w:r w:rsidRPr="00C75AD7">
        <w:rPr>
          <w:rFonts w:ascii="Arial" w:hAnsi="Arial" w:cs="Arial"/>
          <w:sz w:val="20"/>
          <w:szCs w:val="20"/>
        </w:rPr>
        <w:lastRenderedPageBreak/>
        <w:t xml:space="preserve">19. [R7] Sulla base delle esigenze di Sogei per l’evoluzione e potenziamento del proprio personale tecnico, l’Azienda è in grado di garantire che, oltre ai requisiti minimi indicati nelle premesse, nella banca dati ICT on line in ambito Finance siano riscontrabili i seguenti ambiti specifici di </w:t>
      </w:r>
      <w:proofErr w:type="gramStart"/>
      <w:r w:rsidRPr="00C75AD7">
        <w:rPr>
          <w:rFonts w:ascii="Arial" w:hAnsi="Arial" w:cs="Arial"/>
          <w:sz w:val="20"/>
          <w:szCs w:val="20"/>
        </w:rPr>
        <w:t>ricerca ?</w:t>
      </w:r>
      <w:proofErr w:type="gramEnd"/>
      <w:r w:rsidRPr="00C75AD7">
        <w:rPr>
          <w:rFonts w:ascii="Arial" w:hAnsi="Arial" w:cs="Arial"/>
          <w:sz w:val="20"/>
          <w:szCs w:val="20"/>
        </w:rPr>
        <w:t xml:space="preserve"> Qualora la ricerca indicata non sia disponibile, indicare “N.D.”</w:t>
      </w:r>
    </w:p>
    <w:p w14:paraId="114D4F62" w14:textId="77777777" w:rsidR="002E4193" w:rsidRPr="00C75AD7" w:rsidRDefault="002E4193" w:rsidP="002E4193">
      <w:pPr>
        <w:pStyle w:val="Titolo1"/>
        <w:numPr>
          <w:ilvl w:val="0"/>
          <w:numId w:val="0"/>
        </w:numPr>
        <w:rPr>
          <w:rFonts w:cs="Arial"/>
          <w:szCs w:val="22"/>
        </w:rPr>
      </w:pPr>
      <w:r w:rsidRPr="00C75AD7">
        <w:rPr>
          <w:rFonts w:cs="Arial"/>
          <w:szCs w:val="22"/>
        </w:rPr>
        <w:t>Risposta (barrare con una X)</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898"/>
        <w:gridCol w:w="443"/>
      </w:tblGrid>
      <w:tr w:rsidR="002E4193" w:rsidRPr="00C66F03" w14:paraId="0AA9F34E" w14:textId="77777777" w:rsidTr="00094E41">
        <w:tc>
          <w:tcPr>
            <w:tcW w:w="1440" w:type="dxa"/>
          </w:tcPr>
          <w:p w14:paraId="5DEB139A" w14:textId="77777777" w:rsidR="002E4193" w:rsidRPr="00C75AD7" w:rsidRDefault="002E4193" w:rsidP="00094E41">
            <w:pPr>
              <w:autoSpaceDE w:val="0"/>
              <w:autoSpaceDN w:val="0"/>
              <w:adjustRightInd w:val="0"/>
              <w:snapToGrid w:val="0"/>
              <w:rPr>
                <w:rFonts w:ascii="Arial" w:hAnsi="Arial" w:cs="Arial"/>
                <w:sz w:val="20"/>
                <w:szCs w:val="20"/>
              </w:rPr>
            </w:pPr>
          </w:p>
        </w:tc>
        <w:tc>
          <w:tcPr>
            <w:tcW w:w="5920" w:type="dxa"/>
            <w:vAlign w:val="center"/>
          </w:tcPr>
          <w:p w14:paraId="1E5BF335" w14:textId="77777777" w:rsidR="002E4193" w:rsidRPr="00C75AD7" w:rsidRDefault="002E4193" w:rsidP="00094E41">
            <w:pPr>
              <w:autoSpaceDE w:val="0"/>
              <w:autoSpaceDN w:val="0"/>
              <w:adjustRightInd w:val="0"/>
              <w:snapToGrid w:val="0"/>
              <w:jc w:val="both"/>
              <w:rPr>
                <w:rFonts w:ascii="Arial" w:hAnsi="Arial" w:cs="Arial"/>
                <w:sz w:val="20"/>
                <w:szCs w:val="20"/>
              </w:rPr>
            </w:pPr>
          </w:p>
        </w:tc>
        <w:tc>
          <w:tcPr>
            <w:tcW w:w="419" w:type="dxa"/>
          </w:tcPr>
          <w:p w14:paraId="488E002F" w14:textId="77777777" w:rsidR="002E4193" w:rsidRPr="00C75AD7" w:rsidRDefault="002E4193" w:rsidP="00094E41">
            <w:pPr>
              <w:spacing w:line="360" w:lineRule="auto"/>
              <w:jc w:val="both"/>
              <w:rPr>
                <w:rFonts w:ascii="Arial" w:hAnsi="Arial" w:cs="Arial"/>
                <w:bCs/>
                <w:i/>
                <w:sz w:val="20"/>
                <w:szCs w:val="20"/>
                <w:highlight w:val="green"/>
                <w:lang w:val="en-US"/>
              </w:rPr>
            </w:pPr>
            <w:r w:rsidRPr="00C75AD7">
              <w:rPr>
                <w:rFonts w:ascii="Arial" w:hAnsi="Arial" w:cs="Arial"/>
                <w:b/>
                <w:bCs/>
                <w:szCs w:val="20"/>
              </w:rPr>
              <w:t>Sì</w:t>
            </w:r>
          </w:p>
        </w:tc>
      </w:tr>
      <w:tr w:rsidR="002E4193" w:rsidRPr="00F82995" w14:paraId="30C8AA04" w14:textId="77777777" w:rsidTr="00094E41">
        <w:tc>
          <w:tcPr>
            <w:tcW w:w="1440" w:type="dxa"/>
          </w:tcPr>
          <w:p w14:paraId="34E79DDA" w14:textId="77777777" w:rsidR="002E4193" w:rsidRPr="00C75AD7" w:rsidRDefault="002E4193" w:rsidP="00094E41">
            <w:pPr>
              <w:autoSpaceDE w:val="0"/>
              <w:autoSpaceDN w:val="0"/>
              <w:adjustRightInd w:val="0"/>
              <w:snapToGrid w:val="0"/>
              <w:rPr>
                <w:rFonts w:ascii="Arial" w:hAnsi="Arial" w:cs="Arial"/>
                <w:b/>
                <w:sz w:val="20"/>
                <w:szCs w:val="20"/>
              </w:rPr>
            </w:pPr>
            <w:r w:rsidRPr="00C75AD7">
              <w:rPr>
                <w:rFonts w:ascii="Arial" w:hAnsi="Arial" w:cs="Arial"/>
                <w:b/>
                <w:sz w:val="20"/>
                <w:szCs w:val="20"/>
              </w:rPr>
              <w:t>Contenuti della Ricerca on line in ambito Finance</w:t>
            </w:r>
          </w:p>
        </w:tc>
        <w:tc>
          <w:tcPr>
            <w:tcW w:w="5920" w:type="dxa"/>
            <w:vAlign w:val="center"/>
          </w:tcPr>
          <w:p w14:paraId="349F759C" w14:textId="77777777" w:rsidR="002E4193" w:rsidRPr="00C75AD7" w:rsidRDefault="002E4193" w:rsidP="00094E41">
            <w:pPr>
              <w:autoSpaceDE w:val="0"/>
              <w:autoSpaceDN w:val="0"/>
              <w:adjustRightInd w:val="0"/>
              <w:snapToGrid w:val="0"/>
              <w:jc w:val="both"/>
              <w:rPr>
                <w:rFonts w:ascii="Arial" w:hAnsi="Arial" w:cs="Arial"/>
                <w:sz w:val="20"/>
                <w:szCs w:val="20"/>
              </w:rPr>
            </w:pPr>
            <w:r w:rsidRPr="00C75AD7">
              <w:rPr>
                <w:rFonts w:ascii="Arial" w:hAnsi="Arial" w:cs="Arial"/>
                <w:sz w:val="20"/>
                <w:szCs w:val="20"/>
              </w:rPr>
              <w:t>Si richiede la disponibilità di:</w:t>
            </w:r>
          </w:p>
          <w:p w14:paraId="646FAB1A" w14:textId="77777777" w:rsidR="002E4193" w:rsidRPr="00C75AD7" w:rsidRDefault="002E4193">
            <w:pPr>
              <w:pStyle w:val="Paragrafoelenco"/>
              <w:numPr>
                <w:ilvl w:val="0"/>
                <w:numId w:val="23"/>
              </w:numPr>
              <w:autoSpaceDE w:val="0"/>
              <w:autoSpaceDN w:val="0"/>
              <w:adjustRightInd w:val="0"/>
              <w:snapToGrid w:val="0"/>
              <w:ind w:left="741"/>
              <w:jc w:val="both"/>
              <w:rPr>
                <w:rFonts w:ascii="Arial" w:hAnsi="Arial" w:cs="Arial"/>
                <w:sz w:val="20"/>
                <w:szCs w:val="20"/>
                <w:lang w:val="en-US"/>
              </w:rPr>
            </w:pPr>
            <w:r w:rsidRPr="00C75AD7">
              <w:rPr>
                <w:rFonts w:ascii="Arial" w:hAnsi="Arial" w:cs="Arial"/>
                <w:sz w:val="20"/>
                <w:szCs w:val="20"/>
                <w:lang w:val="en-US"/>
              </w:rPr>
              <w:t>business case template</w:t>
            </w:r>
          </w:p>
          <w:p w14:paraId="2B03DE96" w14:textId="77777777" w:rsidR="002E4193" w:rsidRPr="00C75AD7" w:rsidRDefault="002E4193">
            <w:pPr>
              <w:pStyle w:val="Paragrafoelenco"/>
              <w:numPr>
                <w:ilvl w:val="0"/>
                <w:numId w:val="23"/>
              </w:numPr>
              <w:autoSpaceDE w:val="0"/>
              <w:autoSpaceDN w:val="0"/>
              <w:adjustRightInd w:val="0"/>
              <w:snapToGrid w:val="0"/>
              <w:ind w:left="741"/>
              <w:jc w:val="both"/>
              <w:rPr>
                <w:rFonts w:ascii="Arial" w:hAnsi="Arial" w:cs="Arial"/>
                <w:sz w:val="20"/>
                <w:szCs w:val="20"/>
                <w:lang w:val="en-US"/>
              </w:rPr>
            </w:pPr>
            <w:r w:rsidRPr="00C75AD7">
              <w:rPr>
                <w:rFonts w:ascii="Arial" w:hAnsi="Arial" w:cs="Arial"/>
                <w:sz w:val="20"/>
                <w:szCs w:val="20"/>
                <w:lang w:val="en-US"/>
              </w:rPr>
              <w:t>tool finance competency mapping framework</w:t>
            </w:r>
          </w:p>
          <w:p w14:paraId="4E7EE7AC" w14:textId="77777777" w:rsidR="002E4193" w:rsidRPr="00C75AD7" w:rsidRDefault="002E4193">
            <w:pPr>
              <w:pStyle w:val="Paragrafoelenco"/>
              <w:numPr>
                <w:ilvl w:val="0"/>
                <w:numId w:val="23"/>
              </w:numPr>
              <w:autoSpaceDE w:val="0"/>
              <w:autoSpaceDN w:val="0"/>
              <w:adjustRightInd w:val="0"/>
              <w:snapToGrid w:val="0"/>
              <w:ind w:left="741"/>
              <w:jc w:val="both"/>
              <w:rPr>
                <w:rFonts w:ascii="Arial" w:hAnsi="Arial" w:cs="Arial"/>
                <w:sz w:val="20"/>
                <w:szCs w:val="20"/>
                <w:lang w:val="en-US"/>
              </w:rPr>
            </w:pPr>
            <w:r w:rsidRPr="00C75AD7">
              <w:rPr>
                <w:rFonts w:ascii="Arial" w:hAnsi="Arial" w:cs="Arial"/>
                <w:sz w:val="20"/>
                <w:szCs w:val="20"/>
                <w:lang w:val="en-US"/>
              </w:rPr>
              <w:t>toolkit cost allocation mapping for IT cost transparency</w:t>
            </w:r>
          </w:p>
          <w:p w14:paraId="758AA0C0" w14:textId="77777777" w:rsidR="002E4193" w:rsidRPr="00C75AD7" w:rsidRDefault="002E4193">
            <w:pPr>
              <w:pStyle w:val="Paragrafoelenco"/>
              <w:numPr>
                <w:ilvl w:val="0"/>
                <w:numId w:val="23"/>
              </w:numPr>
              <w:autoSpaceDE w:val="0"/>
              <w:autoSpaceDN w:val="0"/>
              <w:adjustRightInd w:val="0"/>
              <w:snapToGrid w:val="0"/>
              <w:ind w:left="741"/>
              <w:jc w:val="both"/>
              <w:rPr>
                <w:rFonts w:ascii="Arial" w:hAnsi="Arial" w:cs="Arial"/>
                <w:sz w:val="20"/>
                <w:szCs w:val="20"/>
                <w:lang w:val="en-US"/>
              </w:rPr>
            </w:pPr>
            <w:r w:rsidRPr="00C75AD7">
              <w:rPr>
                <w:rFonts w:ascii="Arial" w:hAnsi="Arial" w:cs="Arial"/>
                <w:sz w:val="20"/>
                <w:szCs w:val="20"/>
                <w:lang w:val="en-US"/>
              </w:rPr>
              <w:t>finance digital maturity assessment</w:t>
            </w:r>
          </w:p>
          <w:p w14:paraId="6245DBD6" w14:textId="77777777" w:rsidR="002E4193" w:rsidRPr="00C75AD7" w:rsidRDefault="002E4193">
            <w:pPr>
              <w:pStyle w:val="Paragrafoelenco"/>
              <w:numPr>
                <w:ilvl w:val="0"/>
                <w:numId w:val="23"/>
              </w:numPr>
              <w:autoSpaceDE w:val="0"/>
              <w:autoSpaceDN w:val="0"/>
              <w:adjustRightInd w:val="0"/>
              <w:snapToGrid w:val="0"/>
              <w:ind w:left="741"/>
              <w:jc w:val="both"/>
              <w:rPr>
                <w:rFonts w:ascii="Arial" w:hAnsi="Arial" w:cs="Arial"/>
                <w:sz w:val="20"/>
                <w:szCs w:val="20"/>
                <w:lang w:val="en-US"/>
              </w:rPr>
            </w:pPr>
            <w:r w:rsidRPr="00C75AD7">
              <w:rPr>
                <w:rFonts w:ascii="Arial" w:hAnsi="Arial" w:cs="Arial"/>
                <w:sz w:val="20"/>
                <w:szCs w:val="20"/>
                <w:lang w:val="en-US"/>
              </w:rPr>
              <w:t>business alignment assessment</w:t>
            </w:r>
          </w:p>
          <w:p w14:paraId="2D0F84C6" w14:textId="77777777" w:rsidR="002E4193" w:rsidRPr="00C75AD7" w:rsidRDefault="002E4193">
            <w:pPr>
              <w:pStyle w:val="Paragrafoelenco"/>
              <w:numPr>
                <w:ilvl w:val="0"/>
                <w:numId w:val="23"/>
              </w:numPr>
              <w:autoSpaceDE w:val="0"/>
              <w:autoSpaceDN w:val="0"/>
              <w:adjustRightInd w:val="0"/>
              <w:snapToGrid w:val="0"/>
              <w:ind w:left="741"/>
              <w:jc w:val="both"/>
              <w:rPr>
                <w:rFonts w:ascii="Arial" w:hAnsi="Arial" w:cs="Arial"/>
                <w:sz w:val="20"/>
                <w:szCs w:val="20"/>
                <w:lang w:val="en-US"/>
              </w:rPr>
            </w:pPr>
            <w:r w:rsidRPr="00C75AD7">
              <w:rPr>
                <w:rFonts w:ascii="Arial" w:hAnsi="Arial" w:cs="Arial"/>
                <w:sz w:val="20"/>
                <w:szCs w:val="20"/>
                <w:lang w:val="en-US"/>
              </w:rPr>
              <w:t>procurement maturity assessment</w:t>
            </w:r>
          </w:p>
          <w:p w14:paraId="47656636"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p>
          <w:p w14:paraId="180F0DFF" w14:textId="77777777" w:rsidR="002E4193" w:rsidRPr="00C75AD7" w:rsidRDefault="002E4193" w:rsidP="00094E41">
            <w:pPr>
              <w:autoSpaceDE w:val="0"/>
              <w:autoSpaceDN w:val="0"/>
              <w:adjustRightInd w:val="0"/>
              <w:snapToGrid w:val="0"/>
              <w:jc w:val="both"/>
              <w:rPr>
                <w:rFonts w:ascii="Arial" w:hAnsi="Arial" w:cs="Arial"/>
                <w:sz w:val="20"/>
                <w:szCs w:val="20"/>
              </w:rPr>
            </w:pPr>
            <w:r w:rsidRPr="00C75AD7">
              <w:rPr>
                <w:rFonts w:ascii="Arial" w:hAnsi="Arial" w:cs="Arial"/>
                <w:sz w:val="20"/>
                <w:szCs w:val="20"/>
              </w:rPr>
              <w:t xml:space="preserve">Le banche dati on line debbono avere la disponibilità di documenti di ricerca e case study a supporto del processo di Finance </w:t>
            </w:r>
            <w:proofErr w:type="spellStart"/>
            <w:r w:rsidRPr="00C75AD7">
              <w:rPr>
                <w:rFonts w:ascii="Arial" w:hAnsi="Arial" w:cs="Arial"/>
                <w:sz w:val="20"/>
                <w:szCs w:val="20"/>
              </w:rPr>
              <w:t>transformation</w:t>
            </w:r>
            <w:proofErr w:type="spellEnd"/>
            <w:r w:rsidRPr="00C75AD7">
              <w:rPr>
                <w:rFonts w:ascii="Arial" w:hAnsi="Arial" w:cs="Arial"/>
                <w:sz w:val="20"/>
                <w:szCs w:val="20"/>
              </w:rPr>
              <w:t xml:space="preserve"> a copertura dei seguenti domini:</w:t>
            </w:r>
          </w:p>
          <w:p w14:paraId="1498A417"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proofErr w:type="gramStart"/>
            <w:r w:rsidRPr="00C75AD7">
              <w:rPr>
                <w:rFonts w:ascii="Arial" w:hAnsi="Arial" w:cs="Arial"/>
                <w:sz w:val="20"/>
                <w:szCs w:val="20"/>
                <w:lang w:val="en-US"/>
              </w:rPr>
              <w:t>finance</w:t>
            </w:r>
            <w:proofErr w:type="gramEnd"/>
            <w:r w:rsidRPr="00C75AD7">
              <w:rPr>
                <w:rFonts w:ascii="Arial" w:hAnsi="Arial" w:cs="Arial"/>
                <w:sz w:val="20"/>
                <w:szCs w:val="20"/>
                <w:lang w:val="en-US"/>
              </w:rPr>
              <w:t xml:space="preserve"> technology strategy</w:t>
            </w:r>
          </w:p>
          <w:p w14:paraId="3EDBBF87"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finance IT</w:t>
            </w:r>
          </w:p>
          <w:p w14:paraId="0F4F683A"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proofErr w:type="gramStart"/>
            <w:r w:rsidRPr="00C75AD7">
              <w:rPr>
                <w:rFonts w:ascii="Arial" w:hAnsi="Arial" w:cs="Arial"/>
                <w:sz w:val="20"/>
                <w:szCs w:val="20"/>
                <w:lang w:val="en-US"/>
              </w:rPr>
              <w:t>finance</w:t>
            </w:r>
            <w:proofErr w:type="gramEnd"/>
            <w:r w:rsidRPr="00C75AD7">
              <w:rPr>
                <w:rFonts w:ascii="Arial" w:hAnsi="Arial" w:cs="Arial"/>
                <w:sz w:val="20"/>
                <w:szCs w:val="20"/>
                <w:lang w:val="en-US"/>
              </w:rPr>
              <w:t xml:space="preserve"> technology selection</w:t>
            </w:r>
          </w:p>
          <w:p w14:paraId="745E25CD"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emerging technologies in finance</w:t>
            </w:r>
          </w:p>
          <w:p w14:paraId="5ADD142B"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board, investor &amp; external communications</w:t>
            </w:r>
          </w:p>
          <w:p w14:paraId="6E5BA8A2"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CFO personal effectiveness</w:t>
            </w:r>
          </w:p>
          <w:p w14:paraId="4D614816"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change leadership</w:t>
            </w:r>
          </w:p>
          <w:p w14:paraId="281749F0"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resource allocation</w:t>
            </w:r>
          </w:p>
          <w:p w14:paraId="207C3CC7"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cost optimization</w:t>
            </w:r>
          </w:p>
          <w:p w14:paraId="593467CC"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finance data analytics strategy</w:t>
            </w:r>
          </w:p>
          <w:p w14:paraId="4A7EDE37"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finance metrics, insights &amp; storytelling</w:t>
            </w:r>
          </w:p>
          <w:p w14:paraId="001FCD69" w14:textId="77777777" w:rsidR="002E4193" w:rsidRPr="00C75AD7" w:rsidRDefault="002E4193">
            <w:pPr>
              <w:pStyle w:val="Paragrafoelenco"/>
              <w:numPr>
                <w:ilvl w:val="0"/>
                <w:numId w:val="23"/>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benchmark di finance efficiency, maturity and spend</w:t>
            </w:r>
          </w:p>
        </w:tc>
        <w:tc>
          <w:tcPr>
            <w:tcW w:w="419" w:type="dxa"/>
          </w:tcPr>
          <w:p w14:paraId="5F17D80F" w14:textId="77777777" w:rsidR="002E4193" w:rsidRPr="00C75AD7" w:rsidRDefault="002E4193" w:rsidP="00094E41">
            <w:pPr>
              <w:spacing w:line="360" w:lineRule="auto"/>
              <w:jc w:val="both"/>
              <w:rPr>
                <w:rFonts w:ascii="Arial" w:hAnsi="Arial" w:cs="Arial"/>
                <w:bCs/>
                <w:i/>
                <w:sz w:val="20"/>
                <w:szCs w:val="20"/>
                <w:highlight w:val="green"/>
                <w:lang w:val="en-US"/>
              </w:rPr>
            </w:pPr>
          </w:p>
        </w:tc>
      </w:tr>
    </w:tbl>
    <w:p w14:paraId="1D2F3944" w14:textId="77777777" w:rsidR="002E4193" w:rsidRPr="00C75AD7" w:rsidRDefault="002E4193" w:rsidP="002E4193">
      <w:pPr>
        <w:pStyle w:val="Paragrafoelenco"/>
        <w:ind w:left="360"/>
        <w:jc w:val="both"/>
        <w:rPr>
          <w:rFonts w:ascii="Arial" w:hAnsi="Arial" w:cs="Arial"/>
          <w:bCs/>
          <w:sz w:val="20"/>
          <w:szCs w:val="20"/>
          <w:lang w:val="en-US"/>
        </w:rPr>
      </w:pPr>
    </w:p>
    <w:p w14:paraId="200D0525" w14:textId="77777777" w:rsidR="002E4193" w:rsidRPr="00C75AD7" w:rsidRDefault="002E4193">
      <w:pPr>
        <w:pStyle w:val="Paragrafoelenco"/>
        <w:numPr>
          <w:ilvl w:val="0"/>
          <w:numId w:val="3"/>
        </w:numPr>
        <w:jc w:val="both"/>
        <w:rPr>
          <w:rFonts w:ascii="Arial" w:hAnsi="Arial" w:cs="Arial"/>
        </w:rPr>
      </w:pPr>
      <w:r w:rsidRPr="00C75AD7">
        <w:rPr>
          <w:rFonts w:ascii="Arial" w:hAnsi="Arial" w:cs="Arial"/>
          <w:sz w:val="20"/>
          <w:szCs w:val="20"/>
        </w:rPr>
        <w:t>[R13] Sulla base delle esigenze di Sogei, l’Azienda è in grado di garantire che, oltre ai requisiti minimi indicati nelle premesse, nella banca dati ICT on line sia riscontrabile una dashboard sullo stato della trasformazione digitale? Qualora la ricerca indicata non sia disponibile, indicare “N.D.”</w:t>
      </w:r>
    </w:p>
    <w:p w14:paraId="28C6AFF8" w14:textId="77777777" w:rsidR="002E4193" w:rsidRPr="00C75AD7" w:rsidRDefault="002E4193" w:rsidP="002E4193">
      <w:pPr>
        <w:rPr>
          <w:rFonts w:ascii="Arial" w:hAnsi="Arial" w:cs="Arial"/>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5686"/>
        <w:gridCol w:w="443"/>
      </w:tblGrid>
      <w:tr w:rsidR="002E4193" w:rsidRPr="00C66F03" w14:paraId="4FFEF4C1" w14:textId="77777777" w:rsidTr="00094E41">
        <w:tc>
          <w:tcPr>
            <w:tcW w:w="1454" w:type="dxa"/>
          </w:tcPr>
          <w:p w14:paraId="695978CF" w14:textId="77777777" w:rsidR="002E4193" w:rsidRPr="00C75AD7" w:rsidRDefault="002E4193" w:rsidP="00094E41">
            <w:pPr>
              <w:autoSpaceDE w:val="0"/>
              <w:autoSpaceDN w:val="0"/>
              <w:adjustRightInd w:val="0"/>
              <w:snapToGrid w:val="0"/>
              <w:rPr>
                <w:rFonts w:ascii="Arial" w:hAnsi="Arial" w:cs="Arial"/>
                <w:sz w:val="20"/>
                <w:szCs w:val="20"/>
              </w:rPr>
            </w:pPr>
          </w:p>
        </w:tc>
        <w:tc>
          <w:tcPr>
            <w:tcW w:w="5906" w:type="dxa"/>
            <w:vAlign w:val="center"/>
          </w:tcPr>
          <w:p w14:paraId="287C947D" w14:textId="77777777" w:rsidR="002E4193" w:rsidRPr="00C75AD7" w:rsidRDefault="002E4193" w:rsidP="00094E41">
            <w:pPr>
              <w:jc w:val="both"/>
              <w:rPr>
                <w:rFonts w:ascii="Arial" w:hAnsi="Arial" w:cs="Arial"/>
                <w:sz w:val="20"/>
                <w:szCs w:val="20"/>
              </w:rPr>
            </w:pPr>
          </w:p>
        </w:tc>
        <w:tc>
          <w:tcPr>
            <w:tcW w:w="419" w:type="dxa"/>
          </w:tcPr>
          <w:p w14:paraId="4E59397B" w14:textId="77777777" w:rsidR="002E4193" w:rsidRPr="00C75AD7" w:rsidRDefault="002E4193" w:rsidP="00094E41">
            <w:pPr>
              <w:spacing w:line="360" w:lineRule="auto"/>
              <w:jc w:val="both"/>
              <w:rPr>
                <w:rFonts w:ascii="Arial" w:hAnsi="Arial" w:cs="Arial"/>
                <w:bCs/>
                <w:i/>
                <w:sz w:val="20"/>
                <w:szCs w:val="20"/>
                <w:highlight w:val="green"/>
              </w:rPr>
            </w:pPr>
            <w:r w:rsidRPr="00C75AD7">
              <w:rPr>
                <w:rFonts w:ascii="Arial" w:hAnsi="Arial" w:cs="Arial"/>
                <w:b/>
                <w:bCs/>
                <w:szCs w:val="20"/>
              </w:rPr>
              <w:t>Sì</w:t>
            </w:r>
          </w:p>
        </w:tc>
      </w:tr>
      <w:tr w:rsidR="002E4193" w:rsidRPr="00C66F03" w14:paraId="388A1FEB" w14:textId="77777777" w:rsidTr="00094E41">
        <w:tc>
          <w:tcPr>
            <w:tcW w:w="1454" w:type="dxa"/>
          </w:tcPr>
          <w:p w14:paraId="03007E7D" w14:textId="77777777" w:rsidR="002E4193" w:rsidRPr="00C75AD7" w:rsidRDefault="002E4193" w:rsidP="00094E41">
            <w:pPr>
              <w:jc w:val="both"/>
              <w:rPr>
                <w:rFonts w:ascii="Arial" w:hAnsi="Arial" w:cs="Arial"/>
                <w:b/>
                <w:sz w:val="20"/>
                <w:szCs w:val="20"/>
              </w:rPr>
            </w:pPr>
            <w:r w:rsidRPr="00C75AD7">
              <w:rPr>
                <w:rFonts w:ascii="Arial" w:hAnsi="Arial" w:cs="Arial"/>
                <w:b/>
                <w:sz w:val="20"/>
                <w:szCs w:val="20"/>
              </w:rPr>
              <w:t>Dashboard sullo stato della trasformazione digitale</w:t>
            </w:r>
          </w:p>
        </w:tc>
        <w:tc>
          <w:tcPr>
            <w:tcW w:w="5906" w:type="dxa"/>
            <w:vAlign w:val="center"/>
          </w:tcPr>
          <w:p w14:paraId="450123E1" w14:textId="77777777" w:rsidR="002E4193" w:rsidRPr="00C75AD7" w:rsidRDefault="002E4193" w:rsidP="00094E41">
            <w:pPr>
              <w:autoSpaceDE w:val="0"/>
              <w:autoSpaceDN w:val="0"/>
              <w:adjustRightInd w:val="0"/>
              <w:snapToGrid w:val="0"/>
              <w:jc w:val="both"/>
              <w:rPr>
                <w:rFonts w:ascii="Arial" w:hAnsi="Arial" w:cs="Arial"/>
                <w:sz w:val="20"/>
                <w:szCs w:val="20"/>
              </w:rPr>
            </w:pPr>
            <w:r w:rsidRPr="00C75AD7">
              <w:rPr>
                <w:rFonts w:ascii="Arial" w:hAnsi="Arial" w:cs="Arial"/>
                <w:sz w:val="20"/>
                <w:szCs w:val="20"/>
              </w:rPr>
              <w:t>Lo strumento dovrà in particolare dare la possibilità di fare un self-assesment via web sullo stato della trasformazione digitale e tramite una serie di KPI deve permettere di effettuare un confronto con altre organizzazioni della Pubblica Amministrazione, a livello italiano ed internazionale presenti nel database del fornitore, al fine di identificare le aree di intervento per accelerare la trasformazione digitale in Sogei.</w:t>
            </w:r>
          </w:p>
          <w:p w14:paraId="57CA377F" w14:textId="77777777" w:rsidR="002E4193" w:rsidRPr="00C75AD7" w:rsidRDefault="002E4193" w:rsidP="00094E41">
            <w:pPr>
              <w:autoSpaceDE w:val="0"/>
              <w:autoSpaceDN w:val="0"/>
              <w:adjustRightInd w:val="0"/>
              <w:snapToGrid w:val="0"/>
              <w:jc w:val="both"/>
              <w:rPr>
                <w:rFonts w:ascii="Arial" w:hAnsi="Arial" w:cs="Arial"/>
                <w:sz w:val="20"/>
                <w:szCs w:val="20"/>
              </w:rPr>
            </w:pPr>
            <w:r w:rsidRPr="00C75AD7">
              <w:rPr>
                <w:rFonts w:ascii="Arial" w:hAnsi="Arial" w:cs="Arial"/>
                <w:sz w:val="20"/>
                <w:szCs w:val="20"/>
              </w:rPr>
              <w:t>I</w:t>
            </w:r>
            <w:r w:rsidRPr="00C75AD7">
              <w:rPr>
                <w:rFonts w:ascii="Arial" w:hAnsi="Arial" w:cs="Arial"/>
              </w:rPr>
              <w:t xml:space="preserve"> </w:t>
            </w:r>
            <w:r w:rsidRPr="00C75AD7">
              <w:rPr>
                <w:rFonts w:ascii="Arial" w:hAnsi="Arial" w:cs="Arial"/>
                <w:sz w:val="20"/>
                <w:szCs w:val="20"/>
              </w:rPr>
              <w:t>KPI dovranno essere composti dalle due seguenti categorie:</w:t>
            </w:r>
          </w:p>
          <w:p w14:paraId="03BFDBEE" w14:textId="77777777" w:rsidR="002E4193" w:rsidRPr="00C75AD7" w:rsidRDefault="002E4193" w:rsidP="00094E41">
            <w:pPr>
              <w:autoSpaceDE w:val="0"/>
              <w:autoSpaceDN w:val="0"/>
              <w:adjustRightInd w:val="0"/>
              <w:snapToGrid w:val="0"/>
              <w:jc w:val="both"/>
              <w:rPr>
                <w:rFonts w:ascii="Arial" w:hAnsi="Arial" w:cs="Arial"/>
                <w:sz w:val="20"/>
                <w:szCs w:val="20"/>
              </w:rPr>
            </w:pPr>
            <w:r w:rsidRPr="00C75AD7">
              <w:rPr>
                <w:rFonts w:ascii="Arial" w:hAnsi="Arial" w:cs="Arial"/>
                <w:sz w:val="20"/>
                <w:szCs w:val="20"/>
              </w:rPr>
              <w:t xml:space="preserve">a) </w:t>
            </w:r>
            <w:proofErr w:type="spellStart"/>
            <w:r w:rsidRPr="00C75AD7">
              <w:rPr>
                <w:rFonts w:ascii="Arial" w:hAnsi="Arial" w:cs="Arial"/>
                <w:sz w:val="20"/>
                <w:szCs w:val="20"/>
              </w:rPr>
              <w:t>strategic</w:t>
            </w:r>
            <w:proofErr w:type="spellEnd"/>
            <w:r w:rsidRPr="00C75AD7">
              <w:rPr>
                <w:rFonts w:ascii="Arial" w:hAnsi="Arial" w:cs="Arial"/>
                <w:sz w:val="20"/>
                <w:szCs w:val="20"/>
              </w:rPr>
              <w:t xml:space="preserve"> </w:t>
            </w:r>
            <w:proofErr w:type="spellStart"/>
            <w:r w:rsidRPr="00C75AD7">
              <w:rPr>
                <w:rFonts w:ascii="Arial" w:hAnsi="Arial" w:cs="Arial"/>
                <w:sz w:val="20"/>
                <w:szCs w:val="20"/>
              </w:rPr>
              <w:t>digital</w:t>
            </w:r>
            <w:proofErr w:type="spellEnd"/>
            <w:r w:rsidRPr="00C75AD7">
              <w:rPr>
                <w:rFonts w:ascii="Arial" w:hAnsi="Arial" w:cs="Arial"/>
                <w:sz w:val="20"/>
                <w:szCs w:val="20"/>
              </w:rPr>
              <w:t xml:space="preserve"> </w:t>
            </w:r>
            <w:proofErr w:type="spellStart"/>
            <w:r w:rsidRPr="00C75AD7">
              <w:rPr>
                <w:rFonts w:ascii="Arial" w:hAnsi="Arial" w:cs="Arial"/>
                <w:sz w:val="20"/>
                <w:szCs w:val="20"/>
              </w:rPr>
              <w:t>priorities</w:t>
            </w:r>
            <w:proofErr w:type="spellEnd"/>
            <w:r w:rsidRPr="00C75AD7">
              <w:rPr>
                <w:rFonts w:ascii="Arial" w:hAnsi="Arial" w:cs="Arial"/>
                <w:sz w:val="20"/>
                <w:szCs w:val="20"/>
              </w:rPr>
              <w:t xml:space="preserve"> che misurano le aree dove l’adozione del digitale può avere un impatto positivo sulle </w:t>
            </w:r>
            <w:proofErr w:type="spellStart"/>
            <w:r w:rsidRPr="00C75AD7">
              <w:rPr>
                <w:rFonts w:ascii="Arial" w:hAnsi="Arial" w:cs="Arial"/>
                <w:sz w:val="20"/>
                <w:szCs w:val="20"/>
              </w:rPr>
              <w:t>performace</w:t>
            </w:r>
            <w:proofErr w:type="spellEnd"/>
            <w:r w:rsidRPr="00C75AD7">
              <w:rPr>
                <w:rFonts w:ascii="Arial" w:hAnsi="Arial" w:cs="Arial"/>
                <w:sz w:val="20"/>
                <w:szCs w:val="20"/>
              </w:rPr>
              <w:t xml:space="preserve"> aziendali. C’è bisogno in particolare che vengano forniti almeno le seguenti </w:t>
            </w:r>
            <w:proofErr w:type="spellStart"/>
            <w:r w:rsidRPr="00C75AD7">
              <w:rPr>
                <w:rFonts w:ascii="Arial" w:hAnsi="Arial" w:cs="Arial"/>
                <w:sz w:val="20"/>
                <w:szCs w:val="20"/>
              </w:rPr>
              <w:t>digital</w:t>
            </w:r>
            <w:proofErr w:type="spellEnd"/>
            <w:r w:rsidRPr="00C75AD7">
              <w:rPr>
                <w:rFonts w:ascii="Arial" w:hAnsi="Arial" w:cs="Arial"/>
                <w:sz w:val="20"/>
                <w:szCs w:val="20"/>
              </w:rPr>
              <w:t xml:space="preserve"> </w:t>
            </w:r>
            <w:proofErr w:type="spellStart"/>
            <w:r w:rsidRPr="00C75AD7">
              <w:rPr>
                <w:rFonts w:ascii="Arial" w:hAnsi="Arial" w:cs="Arial"/>
                <w:sz w:val="20"/>
                <w:szCs w:val="20"/>
              </w:rPr>
              <w:t>priorities</w:t>
            </w:r>
            <w:proofErr w:type="spellEnd"/>
            <w:r w:rsidRPr="00C75AD7">
              <w:rPr>
                <w:rFonts w:ascii="Arial" w:hAnsi="Arial" w:cs="Arial"/>
                <w:sz w:val="20"/>
                <w:szCs w:val="20"/>
              </w:rPr>
              <w:t>:</w:t>
            </w:r>
          </w:p>
          <w:p w14:paraId="7264F64D" w14:textId="77777777" w:rsidR="002E4193" w:rsidRPr="00C75AD7" w:rsidRDefault="002E4193">
            <w:pPr>
              <w:pStyle w:val="Paragrafoelenco"/>
              <w:numPr>
                <w:ilvl w:val="0"/>
                <w:numId w:val="24"/>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 xml:space="preserve">digital governments </w:t>
            </w:r>
            <w:proofErr w:type="gramStart"/>
            <w:r w:rsidRPr="00C75AD7">
              <w:rPr>
                <w:rFonts w:ascii="Arial" w:hAnsi="Arial" w:cs="Arial"/>
                <w:sz w:val="20"/>
                <w:szCs w:val="20"/>
                <w:lang w:val="en-US"/>
              </w:rPr>
              <w:t>services;</w:t>
            </w:r>
            <w:proofErr w:type="gramEnd"/>
          </w:p>
          <w:p w14:paraId="2649D4B2" w14:textId="77777777" w:rsidR="002E4193" w:rsidRPr="00C75AD7" w:rsidRDefault="002E4193">
            <w:pPr>
              <w:pStyle w:val="Paragrafoelenco"/>
              <w:numPr>
                <w:ilvl w:val="0"/>
                <w:numId w:val="24"/>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lastRenderedPageBreak/>
              <w:t xml:space="preserve">citizen </w:t>
            </w:r>
            <w:proofErr w:type="gramStart"/>
            <w:r w:rsidRPr="00C75AD7">
              <w:rPr>
                <w:rFonts w:ascii="Arial" w:hAnsi="Arial" w:cs="Arial"/>
                <w:sz w:val="20"/>
                <w:szCs w:val="20"/>
                <w:lang w:val="en-US"/>
              </w:rPr>
              <w:t>experience;</w:t>
            </w:r>
            <w:proofErr w:type="gramEnd"/>
          </w:p>
          <w:p w14:paraId="797179B7" w14:textId="77777777" w:rsidR="002E4193" w:rsidRPr="00C75AD7" w:rsidRDefault="002E4193">
            <w:pPr>
              <w:pStyle w:val="Paragrafoelenco"/>
              <w:numPr>
                <w:ilvl w:val="0"/>
                <w:numId w:val="24"/>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 xml:space="preserve">achieve operational </w:t>
            </w:r>
            <w:proofErr w:type="gramStart"/>
            <w:r w:rsidRPr="00C75AD7">
              <w:rPr>
                <w:rFonts w:ascii="Arial" w:hAnsi="Arial" w:cs="Arial"/>
                <w:sz w:val="20"/>
                <w:szCs w:val="20"/>
                <w:lang w:val="en-US"/>
              </w:rPr>
              <w:t>excellence;</w:t>
            </w:r>
            <w:proofErr w:type="gramEnd"/>
          </w:p>
          <w:p w14:paraId="11576582" w14:textId="77777777" w:rsidR="002E4193" w:rsidRPr="00C75AD7" w:rsidRDefault="002E4193">
            <w:pPr>
              <w:pStyle w:val="Paragrafoelenco"/>
              <w:numPr>
                <w:ilvl w:val="0"/>
                <w:numId w:val="24"/>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 xml:space="preserve">optimize asset </w:t>
            </w:r>
            <w:proofErr w:type="gramStart"/>
            <w:r w:rsidRPr="00C75AD7">
              <w:rPr>
                <w:rFonts w:ascii="Arial" w:hAnsi="Arial" w:cs="Arial"/>
                <w:sz w:val="20"/>
                <w:szCs w:val="20"/>
                <w:lang w:val="en-US"/>
              </w:rPr>
              <w:t>utilization;</w:t>
            </w:r>
            <w:proofErr w:type="gramEnd"/>
          </w:p>
          <w:p w14:paraId="60DDE1CC" w14:textId="77777777" w:rsidR="002E4193" w:rsidRPr="00C75AD7" w:rsidRDefault="002E4193">
            <w:pPr>
              <w:pStyle w:val="Paragrafoelenco"/>
              <w:numPr>
                <w:ilvl w:val="0"/>
                <w:numId w:val="24"/>
              </w:num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minimize risks.</w:t>
            </w:r>
          </w:p>
          <w:p w14:paraId="3B2C4A71" w14:textId="77777777" w:rsidR="002E4193" w:rsidRPr="00C75AD7" w:rsidRDefault="002E4193" w:rsidP="00094E41">
            <w:pPr>
              <w:autoSpaceDE w:val="0"/>
              <w:autoSpaceDN w:val="0"/>
              <w:adjustRightInd w:val="0"/>
              <w:snapToGrid w:val="0"/>
              <w:jc w:val="both"/>
              <w:rPr>
                <w:rFonts w:ascii="Arial" w:hAnsi="Arial" w:cs="Arial"/>
                <w:sz w:val="20"/>
                <w:szCs w:val="20"/>
              </w:rPr>
            </w:pPr>
            <w:r w:rsidRPr="00C75AD7">
              <w:rPr>
                <w:rFonts w:ascii="Arial" w:hAnsi="Arial" w:cs="Arial"/>
                <w:sz w:val="20"/>
                <w:szCs w:val="20"/>
              </w:rPr>
              <w:t xml:space="preserve">b) </w:t>
            </w:r>
            <w:proofErr w:type="spellStart"/>
            <w:r w:rsidRPr="00C75AD7">
              <w:rPr>
                <w:rFonts w:ascii="Arial" w:hAnsi="Arial" w:cs="Arial"/>
                <w:sz w:val="20"/>
                <w:szCs w:val="20"/>
              </w:rPr>
              <w:t>digital</w:t>
            </w:r>
            <w:proofErr w:type="spellEnd"/>
            <w:r w:rsidRPr="00C75AD7">
              <w:rPr>
                <w:rFonts w:ascii="Arial" w:hAnsi="Arial" w:cs="Arial"/>
                <w:sz w:val="20"/>
                <w:szCs w:val="20"/>
              </w:rPr>
              <w:t xml:space="preserve"> </w:t>
            </w:r>
            <w:proofErr w:type="spellStart"/>
            <w:r w:rsidRPr="00C75AD7">
              <w:rPr>
                <w:rFonts w:ascii="Arial" w:hAnsi="Arial" w:cs="Arial"/>
                <w:sz w:val="20"/>
                <w:szCs w:val="20"/>
              </w:rPr>
              <w:t>enablers</w:t>
            </w:r>
            <w:proofErr w:type="spellEnd"/>
            <w:r w:rsidRPr="00C75AD7">
              <w:rPr>
                <w:rFonts w:ascii="Arial" w:hAnsi="Arial" w:cs="Arial"/>
                <w:sz w:val="20"/>
                <w:szCs w:val="20"/>
              </w:rPr>
              <w:t xml:space="preserve"> che misurano lo stato di avanzamento nella costruzione delle </w:t>
            </w:r>
            <w:proofErr w:type="spellStart"/>
            <w:r w:rsidRPr="00C75AD7">
              <w:rPr>
                <w:rFonts w:ascii="Arial" w:hAnsi="Arial" w:cs="Arial"/>
                <w:sz w:val="20"/>
                <w:szCs w:val="20"/>
              </w:rPr>
              <w:t>digital</w:t>
            </w:r>
            <w:proofErr w:type="spellEnd"/>
            <w:r w:rsidRPr="00C75AD7">
              <w:rPr>
                <w:rFonts w:ascii="Arial" w:hAnsi="Arial" w:cs="Arial"/>
                <w:sz w:val="20"/>
                <w:szCs w:val="20"/>
              </w:rPr>
              <w:t xml:space="preserve"> capabilities. Sogei ha bisogno in particolare che vengano forniti almeno i seguenti </w:t>
            </w:r>
            <w:proofErr w:type="spellStart"/>
            <w:r w:rsidRPr="00C75AD7">
              <w:rPr>
                <w:rFonts w:ascii="Arial" w:hAnsi="Arial" w:cs="Arial"/>
                <w:sz w:val="20"/>
                <w:szCs w:val="20"/>
              </w:rPr>
              <w:t>digital</w:t>
            </w:r>
            <w:proofErr w:type="spellEnd"/>
            <w:r w:rsidRPr="00C75AD7">
              <w:rPr>
                <w:rFonts w:ascii="Arial" w:hAnsi="Arial" w:cs="Arial"/>
                <w:sz w:val="20"/>
                <w:szCs w:val="20"/>
              </w:rPr>
              <w:t xml:space="preserve"> </w:t>
            </w:r>
            <w:proofErr w:type="spellStart"/>
            <w:r w:rsidRPr="00C75AD7">
              <w:rPr>
                <w:rFonts w:ascii="Arial" w:hAnsi="Arial" w:cs="Arial"/>
                <w:sz w:val="20"/>
                <w:szCs w:val="20"/>
              </w:rPr>
              <w:t>enablers</w:t>
            </w:r>
            <w:proofErr w:type="spellEnd"/>
            <w:r w:rsidRPr="00C75AD7">
              <w:rPr>
                <w:rFonts w:ascii="Arial" w:hAnsi="Arial" w:cs="Arial"/>
                <w:sz w:val="20"/>
                <w:szCs w:val="20"/>
              </w:rPr>
              <w:t>:</w:t>
            </w:r>
          </w:p>
          <w:p w14:paraId="2D30AA24"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funding</w:t>
            </w:r>
          </w:p>
          <w:p w14:paraId="3EFBFFCB"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culture</w:t>
            </w:r>
          </w:p>
          <w:p w14:paraId="6490EAFB"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r>
            <w:proofErr w:type="spellStart"/>
            <w:r w:rsidRPr="00C75AD7">
              <w:rPr>
                <w:rFonts w:ascii="Arial" w:hAnsi="Arial" w:cs="Arial"/>
                <w:sz w:val="20"/>
                <w:szCs w:val="20"/>
                <w:lang w:val="en-US"/>
              </w:rPr>
              <w:t>organisation</w:t>
            </w:r>
            <w:proofErr w:type="spellEnd"/>
            <w:r w:rsidRPr="00C75AD7">
              <w:rPr>
                <w:rFonts w:ascii="Arial" w:hAnsi="Arial" w:cs="Arial"/>
                <w:sz w:val="20"/>
                <w:szCs w:val="20"/>
                <w:lang w:val="en-US"/>
              </w:rPr>
              <w:t xml:space="preserve"> and decision rights</w:t>
            </w:r>
          </w:p>
          <w:p w14:paraId="26939007"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sourcing</w:t>
            </w:r>
          </w:p>
          <w:p w14:paraId="06092527"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talent and skills</w:t>
            </w:r>
          </w:p>
          <w:p w14:paraId="27E2FD05"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ways of working</w:t>
            </w:r>
          </w:p>
          <w:p w14:paraId="4A1176F7"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 xml:space="preserve">cloud and </w:t>
            </w:r>
            <w:proofErr w:type="spellStart"/>
            <w:r w:rsidRPr="00C75AD7">
              <w:rPr>
                <w:rFonts w:ascii="Arial" w:hAnsi="Arial" w:cs="Arial"/>
                <w:sz w:val="20"/>
                <w:szCs w:val="20"/>
                <w:lang w:val="en-US"/>
              </w:rPr>
              <w:t>devops</w:t>
            </w:r>
            <w:proofErr w:type="spellEnd"/>
            <w:r w:rsidRPr="00C75AD7">
              <w:rPr>
                <w:rFonts w:ascii="Arial" w:hAnsi="Arial" w:cs="Arial"/>
                <w:sz w:val="20"/>
                <w:szCs w:val="20"/>
                <w:lang w:val="en-US"/>
              </w:rPr>
              <w:t xml:space="preserve"> toolchain</w:t>
            </w:r>
          </w:p>
          <w:p w14:paraId="1B0DCCE1"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AI and data analytics platform</w:t>
            </w:r>
          </w:p>
          <w:p w14:paraId="7B79A3D5"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customer platform</w:t>
            </w:r>
          </w:p>
          <w:p w14:paraId="048F2941"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ecosystem integration platform</w:t>
            </w:r>
          </w:p>
          <w:p w14:paraId="032E544B"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IOT platform</w:t>
            </w:r>
          </w:p>
          <w:p w14:paraId="23648522" w14:textId="77777777" w:rsidR="002E4193" w:rsidRPr="00C75AD7" w:rsidRDefault="002E4193" w:rsidP="00094E41">
            <w:pPr>
              <w:autoSpaceDE w:val="0"/>
              <w:autoSpaceDN w:val="0"/>
              <w:adjustRightInd w:val="0"/>
              <w:snapToGrid w:val="0"/>
              <w:jc w:val="both"/>
              <w:rPr>
                <w:rFonts w:ascii="Arial" w:hAnsi="Arial" w:cs="Arial"/>
                <w:sz w:val="20"/>
                <w:szCs w:val="20"/>
                <w:lang w:val="en-US"/>
              </w:rPr>
            </w:pPr>
            <w:r w:rsidRPr="00C75AD7">
              <w:rPr>
                <w:rFonts w:ascii="Arial" w:hAnsi="Arial" w:cs="Arial"/>
                <w:sz w:val="20"/>
                <w:szCs w:val="20"/>
                <w:lang w:val="en-US"/>
              </w:rPr>
              <w:t>•</w:t>
            </w:r>
            <w:r w:rsidRPr="00C75AD7">
              <w:rPr>
                <w:rFonts w:ascii="Arial" w:hAnsi="Arial" w:cs="Arial"/>
                <w:sz w:val="20"/>
                <w:szCs w:val="20"/>
                <w:lang w:val="en-US"/>
              </w:rPr>
              <w:tab/>
              <w:t>security platform</w:t>
            </w:r>
          </w:p>
          <w:p w14:paraId="6254328F" w14:textId="77777777" w:rsidR="002E4193" w:rsidRPr="00C75AD7" w:rsidRDefault="002E4193" w:rsidP="00094E41">
            <w:pPr>
              <w:jc w:val="both"/>
              <w:rPr>
                <w:rFonts w:ascii="Arial" w:hAnsi="Arial" w:cs="Arial"/>
                <w:color w:val="FF0000"/>
                <w:sz w:val="20"/>
                <w:szCs w:val="20"/>
                <w:lang w:val="en-US"/>
              </w:rPr>
            </w:pPr>
          </w:p>
        </w:tc>
        <w:tc>
          <w:tcPr>
            <w:tcW w:w="419" w:type="dxa"/>
          </w:tcPr>
          <w:p w14:paraId="5324742F" w14:textId="77777777" w:rsidR="002E4193" w:rsidRPr="00C75AD7" w:rsidRDefault="002E4193" w:rsidP="00094E41">
            <w:pPr>
              <w:spacing w:line="360" w:lineRule="auto"/>
              <w:jc w:val="both"/>
              <w:rPr>
                <w:rFonts w:ascii="Arial" w:hAnsi="Arial" w:cs="Arial"/>
                <w:bCs/>
                <w:i/>
                <w:color w:val="FF0000"/>
                <w:sz w:val="20"/>
                <w:szCs w:val="20"/>
                <w:highlight w:val="green"/>
                <w:lang w:val="en-US"/>
              </w:rPr>
            </w:pPr>
          </w:p>
        </w:tc>
      </w:tr>
    </w:tbl>
    <w:p w14:paraId="25F742FB" w14:textId="77777777" w:rsidR="002E4193" w:rsidRPr="00C75AD7" w:rsidRDefault="002E4193" w:rsidP="002E4193">
      <w:pPr>
        <w:rPr>
          <w:rFonts w:ascii="Arial" w:hAnsi="Arial" w:cs="Arial"/>
        </w:rPr>
      </w:pPr>
    </w:p>
    <w:p w14:paraId="17A185C8" w14:textId="57D55BA0" w:rsidR="002E4193" w:rsidRPr="00C75AD7" w:rsidRDefault="002E4193">
      <w:pPr>
        <w:numPr>
          <w:ilvl w:val="0"/>
          <w:numId w:val="3"/>
        </w:numPr>
        <w:jc w:val="both"/>
        <w:rPr>
          <w:rFonts w:ascii="Arial" w:hAnsi="Arial" w:cs="Arial"/>
        </w:rPr>
      </w:pPr>
      <w:r w:rsidRPr="00C75AD7">
        <w:rPr>
          <w:rFonts w:ascii="Arial" w:hAnsi="Arial" w:cs="Arial"/>
          <w:sz w:val="20"/>
          <w:szCs w:val="20"/>
        </w:rPr>
        <w:t>[R1</w:t>
      </w:r>
      <w:r w:rsidR="001C599F" w:rsidRPr="00C66F03">
        <w:rPr>
          <w:rFonts w:ascii="Arial" w:hAnsi="Arial" w:cs="Arial"/>
          <w:sz w:val="20"/>
          <w:szCs w:val="20"/>
        </w:rPr>
        <w:t>3</w:t>
      </w:r>
      <w:r w:rsidRPr="00C75AD7">
        <w:rPr>
          <w:rFonts w:ascii="Arial" w:hAnsi="Arial" w:cs="Arial"/>
          <w:sz w:val="20"/>
          <w:szCs w:val="20"/>
        </w:rPr>
        <w:t xml:space="preserve">] Sulla base delle esigenze di Sogei, già espresse nella premessa, l’Azienda è in grado di predisporre, sempre all’interno del portale, una piattaforma di benchmark e diagnostica con le caratteristiche indicate </w:t>
      </w:r>
      <w:proofErr w:type="gramStart"/>
      <w:r w:rsidRPr="00C75AD7">
        <w:rPr>
          <w:rFonts w:ascii="Arial" w:hAnsi="Arial" w:cs="Arial"/>
          <w:sz w:val="20"/>
          <w:szCs w:val="20"/>
        </w:rPr>
        <w:t>sotto ?</w:t>
      </w:r>
      <w:proofErr w:type="gramEnd"/>
      <w:r w:rsidRPr="00C75AD7">
        <w:rPr>
          <w:rFonts w:ascii="Arial" w:hAnsi="Arial" w:cs="Arial"/>
          <w:sz w:val="20"/>
          <w:szCs w:val="20"/>
        </w:rPr>
        <w:t xml:space="preserve"> Qualora la ricerca indicata non sia disponibile, indicare “N.D.”</w:t>
      </w:r>
    </w:p>
    <w:p w14:paraId="0D38666C" w14:textId="77777777" w:rsidR="002E4193" w:rsidRPr="00C75AD7" w:rsidRDefault="002E4193" w:rsidP="002E4193">
      <w:pPr>
        <w:pStyle w:val="Titolo1"/>
        <w:numPr>
          <w:ilvl w:val="0"/>
          <w:numId w:val="0"/>
        </w:numPr>
        <w:rPr>
          <w:rFonts w:cs="Arial"/>
          <w:szCs w:val="22"/>
        </w:rPr>
      </w:pPr>
      <w:r w:rsidRPr="00C75AD7">
        <w:rPr>
          <w:rFonts w:cs="Arial"/>
          <w:szCs w:val="22"/>
        </w:rPr>
        <w:t>Risposta (barrare con una X)</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754"/>
        <w:gridCol w:w="697"/>
      </w:tblGrid>
      <w:tr w:rsidR="002E4193" w:rsidRPr="00C66F03" w14:paraId="08CF7DFF" w14:textId="77777777" w:rsidTr="00094E41">
        <w:tc>
          <w:tcPr>
            <w:tcW w:w="1246" w:type="dxa"/>
            <w:tcBorders>
              <w:top w:val="nil"/>
              <w:left w:val="nil"/>
              <w:bottom w:val="single" w:sz="4" w:space="0" w:color="auto"/>
              <w:right w:val="nil"/>
            </w:tcBorders>
            <w:vAlign w:val="center"/>
          </w:tcPr>
          <w:p w14:paraId="47BE0205" w14:textId="77777777" w:rsidR="002E4193" w:rsidRPr="00C75AD7" w:rsidRDefault="002E4193" w:rsidP="00094E41">
            <w:pPr>
              <w:spacing w:line="360" w:lineRule="auto"/>
              <w:rPr>
                <w:rFonts w:ascii="Arial" w:hAnsi="Arial" w:cs="Arial"/>
                <w:b/>
                <w:sz w:val="20"/>
                <w:szCs w:val="20"/>
              </w:rPr>
            </w:pPr>
          </w:p>
        </w:tc>
        <w:tc>
          <w:tcPr>
            <w:tcW w:w="5831" w:type="dxa"/>
            <w:tcBorders>
              <w:top w:val="nil"/>
              <w:left w:val="nil"/>
              <w:bottom w:val="single" w:sz="4" w:space="0" w:color="auto"/>
              <w:right w:val="single" w:sz="4" w:space="0" w:color="auto"/>
            </w:tcBorders>
            <w:vAlign w:val="center"/>
          </w:tcPr>
          <w:p w14:paraId="5F6049EA" w14:textId="77777777" w:rsidR="002E4193" w:rsidRPr="00C75AD7" w:rsidRDefault="002E4193" w:rsidP="00094E41">
            <w:pPr>
              <w:jc w:val="both"/>
              <w:rPr>
                <w:rFonts w:ascii="Arial" w:hAnsi="Arial" w:cs="Arial"/>
                <w:sz w:val="20"/>
                <w:szCs w:val="20"/>
              </w:rPr>
            </w:pPr>
          </w:p>
        </w:tc>
        <w:tc>
          <w:tcPr>
            <w:tcW w:w="702" w:type="dxa"/>
            <w:tcBorders>
              <w:left w:val="single" w:sz="4" w:space="0" w:color="auto"/>
            </w:tcBorders>
          </w:tcPr>
          <w:p w14:paraId="0C007685" w14:textId="77777777" w:rsidR="002E4193" w:rsidRPr="00C75AD7" w:rsidRDefault="002E4193" w:rsidP="00094E41">
            <w:pPr>
              <w:spacing w:line="360" w:lineRule="auto"/>
              <w:jc w:val="center"/>
              <w:rPr>
                <w:rFonts w:ascii="Arial" w:hAnsi="Arial" w:cs="Arial"/>
                <w:b/>
                <w:bCs/>
                <w:sz w:val="20"/>
                <w:szCs w:val="20"/>
              </w:rPr>
            </w:pPr>
            <w:r w:rsidRPr="00C75AD7">
              <w:rPr>
                <w:rFonts w:ascii="Arial" w:hAnsi="Arial" w:cs="Arial"/>
                <w:b/>
                <w:bCs/>
                <w:szCs w:val="20"/>
              </w:rPr>
              <w:t>Sì</w:t>
            </w:r>
          </w:p>
        </w:tc>
      </w:tr>
      <w:tr w:rsidR="002E4193" w:rsidRPr="00C66F03" w14:paraId="15F21F93" w14:textId="77777777" w:rsidTr="00094E41">
        <w:tc>
          <w:tcPr>
            <w:tcW w:w="1246" w:type="dxa"/>
            <w:vMerge w:val="restart"/>
            <w:vAlign w:val="center"/>
          </w:tcPr>
          <w:p w14:paraId="1B216386" w14:textId="77777777" w:rsidR="002E4193" w:rsidRPr="00C75AD7" w:rsidRDefault="002E4193" w:rsidP="00094E41">
            <w:pPr>
              <w:spacing w:line="360" w:lineRule="auto"/>
              <w:rPr>
                <w:rFonts w:ascii="Arial" w:hAnsi="Arial" w:cs="Arial"/>
                <w:bCs/>
                <w:i/>
                <w:sz w:val="20"/>
                <w:szCs w:val="20"/>
                <w:highlight w:val="green"/>
              </w:rPr>
            </w:pPr>
            <w:r w:rsidRPr="00C75AD7">
              <w:rPr>
                <w:rFonts w:ascii="Arial" w:hAnsi="Arial" w:cs="Arial"/>
                <w:b/>
                <w:sz w:val="20"/>
                <w:szCs w:val="20"/>
              </w:rPr>
              <w:t>Piattaforma di benchmark e diagnostica</w:t>
            </w:r>
          </w:p>
        </w:tc>
        <w:tc>
          <w:tcPr>
            <w:tcW w:w="5831" w:type="dxa"/>
            <w:vAlign w:val="center"/>
          </w:tcPr>
          <w:p w14:paraId="6AF3D4E2" w14:textId="77777777" w:rsidR="002E4193" w:rsidRPr="00C75AD7" w:rsidRDefault="002E4193" w:rsidP="00094E41">
            <w:pPr>
              <w:pStyle w:val="microblujustify"/>
              <w:jc w:val="both"/>
              <w:rPr>
                <w:rFonts w:ascii="Arial" w:hAnsi="Arial" w:cs="Arial"/>
                <w:bCs/>
                <w:sz w:val="20"/>
                <w:szCs w:val="20"/>
              </w:rPr>
            </w:pPr>
            <w:r w:rsidRPr="00C75AD7">
              <w:rPr>
                <w:rFonts w:ascii="Arial" w:hAnsi="Arial" w:cs="Arial"/>
                <w:bCs/>
                <w:sz w:val="20"/>
                <w:szCs w:val="20"/>
              </w:rPr>
              <w:t>Tool on-line interattivo di confronto multidimensionale dei prodotti/fornitori di mercato, personalizzabile in base a pesi dei parametri, integrato con le valutazioni della piattaforma di social rating ed in grado di fornire vista storica del posizionamento dei singoli fornitori</w:t>
            </w:r>
          </w:p>
        </w:tc>
        <w:tc>
          <w:tcPr>
            <w:tcW w:w="702" w:type="dxa"/>
          </w:tcPr>
          <w:p w14:paraId="273ACDB3"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463ADFF2" w14:textId="77777777" w:rsidTr="00094E41">
        <w:tc>
          <w:tcPr>
            <w:tcW w:w="1246" w:type="dxa"/>
            <w:vMerge/>
            <w:vAlign w:val="center"/>
          </w:tcPr>
          <w:p w14:paraId="04B21230"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3E706F5D" w14:textId="77777777" w:rsidR="002E4193" w:rsidRPr="00C75AD7" w:rsidRDefault="002E4193" w:rsidP="00094E41">
            <w:pPr>
              <w:pStyle w:val="microblujustify"/>
              <w:spacing w:before="0" w:beforeAutospacing="0" w:after="0" w:afterAutospacing="0"/>
              <w:jc w:val="both"/>
              <w:rPr>
                <w:rFonts w:ascii="Arial" w:hAnsi="Arial" w:cs="Arial"/>
                <w:sz w:val="20"/>
                <w:szCs w:val="20"/>
              </w:rPr>
            </w:pPr>
            <w:r w:rsidRPr="00C75AD7">
              <w:rPr>
                <w:rFonts w:ascii="Arial" w:hAnsi="Arial" w:cs="Arial"/>
                <w:bCs/>
                <w:sz w:val="20"/>
                <w:szCs w:val="20"/>
              </w:rPr>
              <w:t>Tool on-line interattivo di confronti funzionali multi-parametrici tra prodotti/soluzioni IT per diversi settori di mercato e web tool on-line per il confronto basato su “Use Case / Casi d’Uso” personalizzabili</w:t>
            </w:r>
          </w:p>
        </w:tc>
        <w:tc>
          <w:tcPr>
            <w:tcW w:w="702" w:type="dxa"/>
          </w:tcPr>
          <w:p w14:paraId="7A6D17E7"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1C46CE3B" w14:textId="77777777" w:rsidTr="00094E41">
        <w:tc>
          <w:tcPr>
            <w:tcW w:w="1246" w:type="dxa"/>
            <w:vMerge/>
            <w:vAlign w:val="center"/>
          </w:tcPr>
          <w:p w14:paraId="5BAE1776"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40C6EDD2" w14:textId="77777777" w:rsidR="002E4193" w:rsidRPr="00C75AD7" w:rsidRDefault="002E4193" w:rsidP="00094E41">
            <w:pPr>
              <w:pStyle w:val="microblujustify"/>
              <w:spacing w:before="0" w:beforeAutospacing="0" w:after="0" w:afterAutospacing="0"/>
              <w:jc w:val="both"/>
              <w:rPr>
                <w:rFonts w:ascii="Arial" w:hAnsi="Arial" w:cs="Arial"/>
                <w:sz w:val="20"/>
                <w:szCs w:val="20"/>
              </w:rPr>
            </w:pPr>
            <w:r w:rsidRPr="00C75AD7">
              <w:rPr>
                <w:rFonts w:ascii="Arial" w:hAnsi="Arial" w:cs="Arial"/>
                <w:bCs/>
                <w:sz w:val="20"/>
                <w:szCs w:val="20"/>
              </w:rPr>
              <w:t xml:space="preserve">Tool on-line di benchmark del TCO e di altre metriche di costo e servizio sui domini IT: es. data </w:t>
            </w:r>
            <w:proofErr w:type="gramStart"/>
            <w:r w:rsidRPr="00C75AD7">
              <w:rPr>
                <w:rFonts w:ascii="Arial" w:hAnsi="Arial" w:cs="Arial"/>
                <w:bCs/>
                <w:sz w:val="20"/>
                <w:szCs w:val="20"/>
              </w:rPr>
              <w:t>center ,</w:t>
            </w:r>
            <w:proofErr w:type="gramEnd"/>
            <w:r w:rsidRPr="00C75AD7">
              <w:rPr>
                <w:rFonts w:ascii="Arial" w:hAnsi="Arial" w:cs="Arial"/>
                <w:bCs/>
                <w:sz w:val="20"/>
                <w:szCs w:val="20"/>
              </w:rPr>
              <w:t xml:space="preserve"> network, EUC, IT help desk</w:t>
            </w:r>
            <w:r w:rsidRPr="00C75AD7">
              <w:rPr>
                <w:rFonts w:ascii="Arial" w:hAnsi="Arial" w:cs="Arial"/>
                <w:sz w:val="20"/>
                <w:szCs w:val="20"/>
              </w:rPr>
              <w:t xml:space="preserve"> </w:t>
            </w:r>
          </w:p>
        </w:tc>
        <w:tc>
          <w:tcPr>
            <w:tcW w:w="702" w:type="dxa"/>
          </w:tcPr>
          <w:p w14:paraId="2A9E76F8"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F82995" w14:paraId="093CA9C7" w14:textId="77777777" w:rsidTr="00094E41">
        <w:tc>
          <w:tcPr>
            <w:tcW w:w="1246" w:type="dxa"/>
            <w:vMerge/>
            <w:vAlign w:val="center"/>
          </w:tcPr>
          <w:p w14:paraId="63626182"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50439B48" w14:textId="77777777" w:rsidR="002E4193" w:rsidRPr="00C75AD7" w:rsidRDefault="002E4193" w:rsidP="00094E41">
            <w:pPr>
              <w:jc w:val="both"/>
              <w:rPr>
                <w:rFonts w:ascii="Arial" w:hAnsi="Arial" w:cs="Arial"/>
                <w:bCs/>
                <w:sz w:val="20"/>
                <w:szCs w:val="20"/>
                <w:lang w:val="en-US"/>
              </w:rPr>
            </w:pPr>
            <w:r w:rsidRPr="00C75AD7">
              <w:rPr>
                <w:rFonts w:ascii="Arial" w:hAnsi="Arial" w:cs="Arial"/>
                <w:bCs/>
                <w:sz w:val="20"/>
                <w:szCs w:val="20"/>
                <w:lang w:val="en-US"/>
              </w:rPr>
              <w:t>Tool on-line di benchmark di spending e staffing in IT Security</w:t>
            </w:r>
          </w:p>
        </w:tc>
        <w:tc>
          <w:tcPr>
            <w:tcW w:w="702" w:type="dxa"/>
          </w:tcPr>
          <w:p w14:paraId="4CA8F7F1" w14:textId="77777777" w:rsidR="002E4193" w:rsidRPr="00C75AD7" w:rsidRDefault="002E4193" w:rsidP="00094E41">
            <w:pPr>
              <w:spacing w:line="360" w:lineRule="auto"/>
              <w:jc w:val="both"/>
              <w:rPr>
                <w:rFonts w:ascii="Arial" w:hAnsi="Arial" w:cs="Arial"/>
                <w:bCs/>
                <w:i/>
                <w:sz w:val="20"/>
                <w:szCs w:val="20"/>
                <w:highlight w:val="green"/>
                <w:lang w:val="en-US"/>
              </w:rPr>
            </w:pPr>
          </w:p>
        </w:tc>
      </w:tr>
      <w:tr w:rsidR="002E4193" w:rsidRPr="00C66F03" w14:paraId="7AED2EA4" w14:textId="77777777" w:rsidTr="00094E41">
        <w:tc>
          <w:tcPr>
            <w:tcW w:w="1246" w:type="dxa"/>
            <w:vMerge/>
            <w:vAlign w:val="center"/>
          </w:tcPr>
          <w:p w14:paraId="7749E6DF" w14:textId="77777777" w:rsidR="002E4193" w:rsidRPr="00C75AD7" w:rsidRDefault="002E4193" w:rsidP="00094E41">
            <w:pPr>
              <w:spacing w:line="360" w:lineRule="auto"/>
              <w:rPr>
                <w:rFonts w:ascii="Arial" w:hAnsi="Arial" w:cs="Arial"/>
                <w:bCs/>
                <w:i/>
                <w:sz w:val="20"/>
                <w:szCs w:val="20"/>
                <w:highlight w:val="green"/>
                <w:lang w:val="en-US"/>
              </w:rPr>
            </w:pPr>
          </w:p>
        </w:tc>
        <w:tc>
          <w:tcPr>
            <w:tcW w:w="5831" w:type="dxa"/>
            <w:vAlign w:val="center"/>
          </w:tcPr>
          <w:p w14:paraId="692ADFF6" w14:textId="77777777" w:rsidR="002E4193" w:rsidRPr="00C75AD7" w:rsidRDefault="002E4193" w:rsidP="00094E41">
            <w:pPr>
              <w:jc w:val="both"/>
              <w:rPr>
                <w:rFonts w:ascii="Arial" w:hAnsi="Arial" w:cs="Arial"/>
                <w:bCs/>
                <w:sz w:val="20"/>
                <w:szCs w:val="20"/>
              </w:rPr>
            </w:pPr>
            <w:r w:rsidRPr="00C75AD7">
              <w:rPr>
                <w:rFonts w:ascii="Arial" w:hAnsi="Arial" w:cs="Arial"/>
                <w:bCs/>
                <w:sz w:val="20"/>
                <w:szCs w:val="20"/>
              </w:rPr>
              <w:t>Tool on-line di generazione di curve di innovazione personalizzate basate su pool di oltre 1500 profili tecnologici aggiornati annualmente, valutati per maturità, impatto, penetrazione etc. in grado di generare automaticamente file .ppt di output personalizzati</w:t>
            </w:r>
          </w:p>
        </w:tc>
        <w:tc>
          <w:tcPr>
            <w:tcW w:w="702" w:type="dxa"/>
          </w:tcPr>
          <w:p w14:paraId="2CDED063"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21D9EA37" w14:textId="77777777" w:rsidTr="00094E41">
        <w:tc>
          <w:tcPr>
            <w:tcW w:w="1246" w:type="dxa"/>
            <w:vMerge/>
            <w:vAlign w:val="center"/>
          </w:tcPr>
          <w:p w14:paraId="7823511F"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7DEC02BA" w14:textId="77777777" w:rsidR="002E4193" w:rsidRPr="00C75AD7" w:rsidRDefault="002E4193" w:rsidP="00094E41">
            <w:pPr>
              <w:jc w:val="both"/>
              <w:rPr>
                <w:rFonts w:ascii="Arial" w:hAnsi="Arial" w:cs="Arial"/>
                <w:bCs/>
                <w:sz w:val="20"/>
                <w:szCs w:val="20"/>
              </w:rPr>
            </w:pPr>
            <w:r w:rsidRPr="00C75AD7">
              <w:rPr>
                <w:rFonts w:ascii="Arial" w:hAnsi="Arial" w:cs="Arial"/>
                <w:bCs/>
                <w:sz w:val="20"/>
                <w:szCs w:val="20"/>
              </w:rPr>
              <w:t>Tool on-line che consenta sulla base della compilazione del proprio spending di avere una comparazione per Industry o per Fatturato/Budget aziendale. Funzioni di generazione di report in formato .PPT</w:t>
            </w:r>
          </w:p>
        </w:tc>
        <w:tc>
          <w:tcPr>
            <w:tcW w:w="702" w:type="dxa"/>
          </w:tcPr>
          <w:p w14:paraId="62318C22"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F82995" w14:paraId="71D5D7AA" w14:textId="77777777" w:rsidTr="00094E41">
        <w:tc>
          <w:tcPr>
            <w:tcW w:w="1246" w:type="dxa"/>
            <w:vMerge/>
            <w:vAlign w:val="center"/>
          </w:tcPr>
          <w:p w14:paraId="3FFB0F1B"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1D7F5175" w14:textId="77777777" w:rsidR="002E4193" w:rsidRPr="00C75AD7" w:rsidRDefault="002E4193" w:rsidP="00094E41">
            <w:pPr>
              <w:jc w:val="both"/>
              <w:rPr>
                <w:rFonts w:ascii="Arial" w:hAnsi="Arial" w:cs="Arial"/>
                <w:bCs/>
                <w:sz w:val="20"/>
                <w:szCs w:val="20"/>
              </w:rPr>
            </w:pPr>
            <w:r w:rsidRPr="00C75AD7">
              <w:rPr>
                <w:rFonts w:ascii="Arial" w:hAnsi="Arial" w:cs="Arial"/>
                <w:bCs/>
                <w:sz w:val="20"/>
                <w:szCs w:val="20"/>
              </w:rPr>
              <w:t xml:space="preserve">Disponibilità nella ricerca in ambito Finance di benchmark di </w:t>
            </w:r>
            <w:proofErr w:type="spellStart"/>
            <w:r w:rsidRPr="00C75AD7">
              <w:rPr>
                <w:rFonts w:ascii="Arial" w:hAnsi="Arial" w:cs="Arial"/>
                <w:bCs/>
                <w:sz w:val="20"/>
                <w:szCs w:val="20"/>
              </w:rPr>
              <w:t>finance</w:t>
            </w:r>
            <w:proofErr w:type="spellEnd"/>
            <w:r w:rsidRPr="00C75AD7">
              <w:rPr>
                <w:rFonts w:ascii="Arial" w:hAnsi="Arial" w:cs="Arial"/>
                <w:bCs/>
                <w:sz w:val="20"/>
                <w:szCs w:val="20"/>
              </w:rPr>
              <w:t xml:space="preserve"> </w:t>
            </w:r>
            <w:proofErr w:type="spellStart"/>
            <w:r w:rsidRPr="00C75AD7">
              <w:rPr>
                <w:rFonts w:ascii="Arial" w:hAnsi="Arial" w:cs="Arial"/>
                <w:bCs/>
                <w:sz w:val="20"/>
                <w:szCs w:val="20"/>
              </w:rPr>
              <w:t>efficiency</w:t>
            </w:r>
            <w:proofErr w:type="spellEnd"/>
            <w:r w:rsidRPr="00C75AD7">
              <w:rPr>
                <w:rFonts w:ascii="Arial" w:hAnsi="Arial" w:cs="Arial"/>
                <w:bCs/>
                <w:sz w:val="20"/>
                <w:szCs w:val="20"/>
              </w:rPr>
              <w:t xml:space="preserve">, </w:t>
            </w:r>
            <w:proofErr w:type="spellStart"/>
            <w:r w:rsidRPr="00C75AD7">
              <w:rPr>
                <w:rFonts w:ascii="Arial" w:hAnsi="Arial" w:cs="Arial"/>
                <w:bCs/>
                <w:sz w:val="20"/>
                <w:szCs w:val="20"/>
              </w:rPr>
              <w:t>maturity</w:t>
            </w:r>
            <w:proofErr w:type="spellEnd"/>
            <w:r w:rsidRPr="00C75AD7">
              <w:rPr>
                <w:rFonts w:ascii="Arial" w:hAnsi="Arial" w:cs="Arial"/>
                <w:bCs/>
                <w:sz w:val="20"/>
                <w:szCs w:val="20"/>
              </w:rPr>
              <w:t xml:space="preserve"> and </w:t>
            </w:r>
            <w:proofErr w:type="spellStart"/>
            <w:r w:rsidRPr="00C75AD7">
              <w:rPr>
                <w:rFonts w:ascii="Arial" w:hAnsi="Arial" w:cs="Arial"/>
                <w:bCs/>
                <w:sz w:val="20"/>
                <w:szCs w:val="20"/>
              </w:rPr>
              <w:t>spend</w:t>
            </w:r>
            <w:proofErr w:type="spellEnd"/>
            <w:r w:rsidRPr="00C75AD7">
              <w:rPr>
                <w:rFonts w:ascii="Arial" w:hAnsi="Arial" w:cs="Arial"/>
                <w:bCs/>
                <w:sz w:val="20"/>
                <w:szCs w:val="20"/>
              </w:rPr>
              <w:t xml:space="preserve"> che permettono di avere un benchmark della direzione finanze nei confronti di almeno 3000 aziende.</w:t>
            </w:r>
          </w:p>
          <w:p w14:paraId="3864B665" w14:textId="77777777" w:rsidR="002E4193" w:rsidRPr="00C75AD7" w:rsidRDefault="002E4193" w:rsidP="00094E41">
            <w:pPr>
              <w:jc w:val="both"/>
              <w:rPr>
                <w:rFonts w:ascii="Arial" w:hAnsi="Arial" w:cs="Arial"/>
                <w:bCs/>
                <w:sz w:val="20"/>
                <w:szCs w:val="20"/>
              </w:rPr>
            </w:pPr>
            <w:r w:rsidRPr="00C75AD7">
              <w:rPr>
                <w:rFonts w:ascii="Arial" w:hAnsi="Arial" w:cs="Arial"/>
                <w:bCs/>
                <w:sz w:val="20"/>
                <w:szCs w:val="20"/>
              </w:rPr>
              <w:t>Disponibilità dei seguenti tool in ambito Finance:</w:t>
            </w:r>
          </w:p>
          <w:p w14:paraId="0AB5FFB6" w14:textId="77777777" w:rsidR="002E4193" w:rsidRPr="00C75AD7" w:rsidRDefault="002E4193">
            <w:pPr>
              <w:pStyle w:val="Paragrafoelenco"/>
              <w:numPr>
                <w:ilvl w:val="0"/>
                <w:numId w:val="25"/>
              </w:numPr>
              <w:jc w:val="both"/>
              <w:rPr>
                <w:rFonts w:ascii="Arial" w:hAnsi="Arial" w:cs="Arial"/>
                <w:bCs/>
                <w:sz w:val="20"/>
                <w:szCs w:val="20"/>
                <w:lang w:val="en-US"/>
              </w:rPr>
            </w:pPr>
            <w:r w:rsidRPr="00C75AD7">
              <w:rPr>
                <w:rFonts w:ascii="Arial" w:hAnsi="Arial" w:cs="Arial"/>
                <w:bCs/>
                <w:sz w:val="20"/>
                <w:szCs w:val="20"/>
                <w:lang w:val="en-US"/>
              </w:rPr>
              <w:t>finance competency mapping frame</w:t>
            </w:r>
          </w:p>
          <w:p w14:paraId="031F9361" w14:textId="77777777" w:rsidR="002E4193" w:rsidRPr="00C75AD7" w:rsidRDefault="002E4193">
            <w:pPr>
              <w:pStyle w:val="Paragrafoelenco"/>
              <w:numPr>
                <w:ilvl w:val="0"/>
                <w:numId w:val="25"/>
              </w:numPr>
              <w:jc w:val="both"/>
              <w:rPr>
                <w:rFonts w:ascii="Arial" w:hAnsi="Arial" w:cs="Arial"/>
                <w:bCs/>
                <w:sz w:val="20"/>
                <w:szCs w:val="20"/>
                <w:lang w:val="en-US"/>
              </w:rPr>
            </w:pPr>
            <w:r w:rsidRPr="00C75AD7">
              <w:rPr>
                <w:rFonts w:ascii="Arial" w:hAnsi="Arial" w:cs="Arial"/>
                <w:bCs/>
                <w:sz w:val="20"/>
                <w:szCs w:val="20"/>
                <w:lang w:val="en-US"/>
              </w:rPr>
              <w:t>cost allocation mapping for IT cost transparency</w:t>
            </w:r>
          </w:p>
        </w:tc>
        <w:tc>
          <w:tcPr>
            <w:tcW w:w="702" w:type="dxa"/>
          </w:tcPr>
          <w:p w14:paraId="6D65B4CC" w14:textId="77777777" w:rsidR="002E4193" w:rsidRPr="00C75AD7" w:rsidRDefault="002E4193" w:rsidP="00094E41">
            <w:pPr>
              <w:spacing w:line="360" w:lineRule="auto"/>
              <w:jc w:val="both"/>
              <w:rPr>
                <w:rFonts w:ascii="Arial" w:hAnsi="Arial" w:cs="Arial"/>
                <w:bCs/>
                <w:i/>
                <w:sz w:val="20"/>
                <w:szCs w:val="20"/>
                <w:highlight w:val="green"/>
                <w:lang w:val="en-US"/>
              </w:rPr>
            </w:pPr>
          </w:p>
        </w:tc>
      </w:tr>
    </w:tbl>
    <w:p w14:paraId="762D3FF9" w14:textId="41E4EE8B" w:rsidR="002E4193" w:rsidRPr="00C75AD7" w:rsidRDefault="002E4193">
      <w:pPr>
        <w:spacing w:before="120"/>
        <w:ind w:left="357"/>
        <w:jc w:val="both"/>
        <w:rPr>
          <w:rFonts w:ascii="Arial" w:hAnsi="Arial" w:cs="Arial"/>
        </w:rPr>
      </w:pPr>
      <w:r w:rsidRPr="00C75AD7">
        <w:rPr>
          <w:rFonts w:ascii="Arial" w:hAnsi="Arial" w:cs="Arial"/>
          <w:sz w:val="20"/>
          <w:szCs w:val="20"/>
        </w:rPr>
        <w:t>22. [R1</w:t>
      </w:r>
      <w:r w:rsidR="001C599F" w:rsidRPr="00C66F03">
        <w:rPr>
          <w:rFonts w:ascii="Arial" w:hAnsi="Arial" w:cs="Arial"/>
          <w:sz w:val="20"/>
          <w:szCs w:val="20"/>
        </w:rPr>
        <w:t>3</w:t>
      </w:r>
      <w:r w:rsidRPr="00C75AD7">
        <w:rPr>
          <w:rFonts w:ascii="Arial" w:hAnsi="Arial" w:cs="Arial"/>
          <w:sz w:val="20"/>
          <w:szCs w:val="20"/>
        </w:rPr>
        <w:t xml:space="preserve">] Sulla base delle esigenze di Sogei, già </w:t>
      </w:r>
      <w:r w:rsidR="002C6A93" w:rsidRPr="00C75AD7">
        <w:rPr>
          <w:rFonts w:ascii="Arial" w:hAnsi="Arial" w:cs="Arial"/>
          <w:sz w:val="20"/>
          <w:szCs w:val="20"/>
        </w:rPr>
        <w:t xml:space="preserve">sopra </w:t>
      </w:r>
      <w:r w:rsidRPr="00C75AD7">
        <w:rPr>
          <w:rFonts w:ascii="Arial" w:hAnsi="Arial" w:cs="Arial"/>
          <w:sz w:val="20"/>
          <w:szCs w:val="20"/>
        </w:rPr>
        <w:t xml:space="preserve">espresse, l’Azienda è in grado di predisporre, sempre all’interno del portale, una piattaforma di benchmark Public Cloud con le caratteristiche indicate </w:t>
      </w:r>
      <w:proofErr w:type="gramStart"/>
      <w:r w:rsidRPr="00C75AD7">
        <w:rPr>
          <w:rFonts w:ascii="Arial" w:hAnsi="Arial" w:cs="Arial"/>
          <w:sz w:val="20"/>
          <w:szCs w:val="20"/>
        </w:rPr>
        <w:t>sotto ?</w:t>
      </w:r>
      <w:proofErr w:type="gramEnd"/>
      <w:r w:rsidRPr="00C75AD7">
        <w:rPr>
          <w:rFonts w:ascii="Arial" w:hAnsi="Arial" w:cs="Arial"/>
          <w:sz w:val="20"/>
          <w:szCs w:val="20"/>
        </w:rPr>
        <w:t xml:space="preserve"> Qualora la ricerca indicata non sia disponibile, indicare “N.D.”</w:t>
      </w:r>
    </w:p>
    <w:p w14:paraId="58522CA6" w14:textId="77777777" w:rsidR="002E4193" w:rsidRPr="00C75AD7" w:rsidRDefault="002E4193" w:rsidP="002E4193">
      <w:pPr>
        <w:pStyle w:val="Titolo1"/>
        <w:numPr>
          <w:ilvl w:val="0"/>
          <w:numId w:val="0"/>
        </w:numPr>
        <w:rPr>
          <w:rFonts w:cs="Arial"/>
          <w:szCs w:val="22"/>
        </w:rPr>
      </w:pPr>
      <w:r w:rsidRPr="00C75AD7">
        <w:rPr>
          <w:rFonts w:cs="Arial"/>
          <w:szCs w:val="22"/>
        </w:rPr>
        <w:t>Risposta (barrare con una X)</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764"/>
        <w:gridCol w:w="698"/>
      </w:tblGrid>
      <w:tr w:rsidR="002E4193" w:rsidRPr="00C66F03" w14:paraId="56EB6D70" w14:textId="77777777" w:rsidTr="00094E41">
        <w:tc>
          <w:tcPr>
            <w:tcW w:w="1246" w:type="dxa"/>
            <w:tcBorders>
              <w:top w:val="nil"/>
              <w:left w:val="nil"/>
              <w:bottom w:val="single" w:sz="4" w:space="0" w:color="auto"/>
              <w:right w:val="nil"/>
            </w:tcBorders>
            <w:vAlign w:val="center"/>
          </w:tcPr>
          <w:p w14:paraId="6387AE6D" w14:textId="77777777" w:rsidR="002E4193" w:rsidRPr="00C75AD7" w:rsidRDefault="002E4193" w:rsidP="00094E41">
            <w:pPr>
              <w:spacing w:line="360" w:lineRule="auto"/>
              <w:rPr>
                <w:rFonts w:ascii="Arial" w:hAnsi="Arial" w:cs="Arial"/>
                <w:b/>
                <w:sz w:val="20"/>
                <w:szCs w:val="20"/>
              </w:rPr>
            </w:pPr>
          </w:p>
        </w:tc>
        <w:tc>
          <w:tcPr>
            <w:tcW w:w="5831" w:type="dxa"/>
            <w:tcBorders>
              <w:top w:val="nil"/>
              <w:left w:val="nil"/>
              <w:bottom w:val="single" w:sz="4" w:space="0" w:color="auto"/>
              <w:right w:val="single" w:sz="4" w:space="0" w:color="auto"/>
            </w:tcBorders>
            <w:vAlign w:val="center"/>
          </w:tcPr>
          <w:p w14:paraId="673B686F" w14:textId="77777777" w:rsidR="002E4193" w:rsidRPr="00C75AD7" w:rsidRDefault="002E4193" w:rsidP="00094E41">
            <w:pPr>
              <w:jc w:val="both"/>
              <w:rPr>
                <w:rFonts w:ascii="Arial" w:hAnsi="Arial" w:cs="Arial"/>
                <w:sz w:val="20"/>
                <w:szCs w:val="20"/>
              </w:rPr>
            </w:pPr>
          </w:p>
        </w:tc>
        <w:tc>
          <w:tcPr>
            <w:tcW w:w="702" w:type="dxa"/>
            <w:tcBorders>
              <w:left w:val="single" w:sz="4" w:space="0" w:color="auto"/>
            </w:tcBorders>
          </w:tcPr>
          <w:p w14:paraId="6D22462F" w14:textId="77777777" w:rsidR="002E4193" w:rsidRPr="00C75AD7" w:rsidRDefault="002E4193" w:rsidP="00094E41">
            <w:pPr>
              <w:spacing w:line="360" w:lineRule="auto"/>
              <w:jc w:val="center"/>
              <w:rPr>
                <w:rFonts w:ascii="Arial" w:hAnsi="Arial" w:cs="Arial"/>
                <w:b/>
                <w:bCs/>
                <w:sz w:val="20"/>
                <w:szCs w:val="20"/>
              </w:rPr>
            </w:pPr>
            <w:r w:rsidRPr="00C75AD7">
              <w:rPr>
                <w:rFonts w:ascii="Arial" w:hAnsi="Arial" w:cs="Arial"/>
                <w:b/>
                <w:bCs/>
                <w:szCs w:val="20"/>
              </w:rPr>
              <w:t>Sì</w:t>
            </w:r>
          </w:p>
        </w:tc>
      </w:tr>
      <w:tr w:rsidR="002E4193" w:rsidRPr="00C66F03" w14:paraId="34C54691" w14:textId="77777777" w:rsidTr="00094E41">
        <w:tc>
          <w:tcPr>
            <w:tcW w:w="1246" w:type="dxa"/>
            <w:vMerge w:val="restart"/>
            <w:vAlign w:val="center"/>
          </w:tcPr>
          <w:p w14:paraId="20D23EFA" w14:textId="77777777" w:rsidR="002E4193" w:rsidRPr="00C75AD7" w:rsidRDefault="002E4193" w:rsidP="00094E41">
            <w:pPr>
              <w:spacing w:line="360" w:lineRule="auto"/>
              <w:rPr>
                <w:rFonts w:ascii="Arial" w:hAnsi="Arial" w:cs="Arial"/>
                <w:bCs/>
                <w:i/>
                <w:sz w:val="20"/>
                <w:szCs w:val="20"/>
                <w:highlight w:val="green"/>
              </w:rPr>
            </w:pPr>
            <w:r w:rsidRPr="00C75AD7">
              <w:rPr>
                <w:rFonts w:ascii="Arial" w:hAnsi="Arial" w:cs="Arial"/>
                <w:b/>
                <w:sz w:val="20"/>
                <w:szCs w:val="20"/>
              </w:rPr>
              <w:t>Piattaforma di benchmark Public Cloud</w:t>
            </w:r>
          </w:p>
        </w:tc>
        <w:tc>
          <w:tcPr>
            <w:tcW w:w="5831" w:type="dxa"/>
            <w:vAlign w:val="center"/>
          </w:tcPr>
          <w:p w14:paraId="3CC6B5C4" w14:textId="77777777" w:rsidR="002E4193" w:rsidRPr="00C75AD7" w:rsidRDefault="002E4193" w:rsidP="00094E41">
            <w:pPr>
              <w:pStyle w:val="microblujustify"/>
              <w:jc w:val="both"/>
              <w:rPr>
                <w:rFonts w:ascii="Arial" w:hAnsi="Arial" w:cs="Arial"/>
                <w:bCs/>
                <w:sz w:val="20"/>
                <w:szCs w:val="20"/>
              </w:rPr>
            </w:pPr>
            <w:r w:rsidRPr="00C75AD7">
              <w:rPr>
                <w:rFonts w:ascii="Arial" w:hAnsi="Arial" w:cs="Arial"/>
                <w:bCs/>
                <w:sz w:val="20"/>
                <w:szCs w:val="20"/>
              </w:rPr>
              <w:t>Strumenti comparativi on-line interattivi per il benchmark delle caratteristiche tecniche di dettaglio e dei livelli di servizio e configurazione e del pricing di dettaglio dei principali servizi cloud offerti sul mercato (es. AWS, MS Azure, Google, Etc)</w:t>
            </w:r>
          </w:p>
        </w:tc>
        <w:tc>
          <w:tcPr>
            <w:tcW w:w="702" w:type="dxa"/>
          </w:tcPr>
          <w:p w14:paraId="2E37FBD8"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7449A27E" w14:textId="77777777" w:rsidTr="00094E41">
        <w:tc>
          <w:tcPr>
            <w:tcW w:w="1246" w:type="dxa"/>
            <w:vMerge/>
            <w:vAlign w:val="center"/>
          </w:tcPr>
          <w:p w14:paraId="0F30EBE4"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62D63AAE"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 xml:space="preserve">Gli strumenti debbono disporre delle seguenti funzioni di:  </w:t>
            </w:r>
          </w:p>
          <w:p w14:paraId="4F960F89" w14:textId="4D5CDFC8" w:rsidR="002E4193" w:rsidRPr="00C75AD7" w:rsidRDefault="002E4193" w:rsidP="00094E41">
            <w:pPr>
              <w:jc w:val="both"/>
              <w:rPr>
                <w:rFonts w:ascii="Arial" w:hAnsi="Arial" w:cs="Arial"/>
                <w:sz w:val="20"/>
                <w:szCs w:val="20"/>
              </w:rPr>
            </w:pPr>
            <w:r w:rsidRPr="00C75AD7">
              <w:rPr>
                <w:rFonts w:ascii="Arial" w:hAnsi="Arial" w:cs="Arial"/>
                <w:sz w:val="20"/>
                <w:szCs w:val="20"/>
              </w:rPr>
              <w:t xml:space="preserve">- personalizzazione del </w:t>
            </w:r>
            <w:proofErr w:type="spellStart"/>
            <w:r w:rsidR="002C6A93" w:rsidRPr="00C66F03">
              <w:rPr>
                <w:rFonts w:ascii="Arial" w:hAnsi="Arial" w:cs="Arial"/>
                <w:sz w:val="20"/>
                <w:szCs w:val="20"/>
              </w:rPr>
              <w:t>workload</w:t>
            </w:r>
            <w:proofErr w:type="spellEnd"/>
            <w:r w:rsidRPr="00C75AD7">
              <w:rPr>
                <w:rFonts w:ascii="Arial" w:hAnsi="Arial" w:cs="Arial"/>
                <w:sz w:val="20"/>
                <w:szCs w:val="20"/>
              </w:rPr>
              <w:t>;</w:t>
            </w:r>
          </w:p>
          <w:p w14:paraId="4ADECAF1"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 drag &amp; drop dei nodi e dei componenti</w:t>
            </w:r>
          </w:p>
          <w:p w14:paraId="601C6706" w14:textId="7A3A9938" w:rsidR="002E4193" w:rsidRPr="00C75AD7" w:rsidRDefault="002E4193" w:rsidP="00094E41">
            <w:pPr>
              <w:jc w:val="both"/>
              <w:rPr>
                <w:rFonts w:ascii="Arial" w:hAnsi="Arial" w:cs="Arial"/>
                <w:sz w:val="20"/>
                <w:szCs w:val="20"/>
              </w:rPr>
            </w:pPr>
            <w:r w:rsidRPr="00C75AD7">
              <w:rPr>
                <w:rFonts w:ascii="Arial" w:hAnsi="Arial" w:cs="Arial"/>
                <w:sz w:val="20"/>
                <w:szCs w:val="20"/>
              </w:rPr>
              <w:t xml:space="preserve">- </w:t>
            </w:r>
            <w:r w:rsidR="002C6A93" w:rsidRPr="00C66F03">
              <w:rPr>
                <w:rFonts w:ascii="Arial" w:hAnsi="Arial" w:cs="Arial"/>
                <w:sz w:val="20"/>
                <w:szCs w:val="20"/>
              </w:rPr>
              <w:t>confronto della configurazione del servizio tra</w:t>
            </w:r>
            <w:r w:rsidRPr="00C75AD7">
              <w:rPr>
                <w:rFonts w:ascii="Arial" w:hAnsi="Arial" w:cs="Arial"/>
                <w:sz w:val="20"/>
                <w:szCs w:val="20"/>
              </w:rPr>
              <w:t xml:space="preserve"> più cloud provider;</w:t>
            </w:r>
          </w:p>
          <w:p w14:paraId="3CA94B77"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 xml:space="preserve">- libreria di pattern di </w:t>
            </w:r>
            <w:proofErr w:type="spellStart"/>
            <w:r w:rsidRPr="00C75AD7">
              <w:rPr>
                <w:rFonts w:ascii="Arial" w:hAnsi="Arial" w:cs="Arial"/>
                <w:sz w:val="20"/>
                <w:szCs w:val="20"/>
              </w:rPr>
              <w:t>workload</w:t>
            </w:r>
            <w:proofErr w:type="spellEnd"/>
            <w:r w:rsidRPr="00C75AD7">
              <w:rPr>
                <w:rFonts w:ascii="Arial" w:hAnsi="Arial" w:cs="Arial"/>
                <w:sz w:val="20"/>
                <w:szCs w:val="20"/>
              </w:rPr>
              <w:t xml:space="preserve"> predefiniti e libreria storica di confronti;</w:t>
            </w:r>
          </w:p>
          <w:p w14:paraId="45C0D87D"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 copertura minima dei principali public cloud provider (AWS, Google, Microsoft, IBM, Oracle, Alibaba)</w:t>
            </w:r>
          </w:p>
        </w:tc>
        <w:tc>
          <w:tcPr>
            <w:tcW w:w="702" w:type="dxa"/>
          </w:tcPr>
          <w:p w14:paraId="123E1F76"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4D1ABB85" w14:textId="77777777" w:rsidTr="00094E41">
        <w:tc>
          <w:tcPr>
            <w:tcW w:w="1246" w:type="dxa"/>
            <w:vMerge/>
            <w:vAlign w:val="center"/>
          </w:tcPr>
          <w:p w14:paraId="47EBB78E" w14:textId="77777777" w:rsidR="002E4193" w:rsidRPr="00C75AD7" w:rsidRDefault="002E4193" w:rsidP="00094E41">
            <w:pPr>
              <w:spacing w:line="360" w:lineRule="auto"/>
              <w:rPr>
                <w:rFonts w:ascii="Arial" w:hAnsi="Arial" w:cs="Arial"/>
                <w:bCs/>
                <w:i/>
                <w:sz w:val="20"/>
                <w:szCs w:val="20"/>
                <w:highlight w:val="green"/>
              </w:rPr>
            </w:pPr>
          </w:p>
        </w:tc>
        <w:tc>
          <w:tcPr>
            <w:tcW w:w="5831" w:type="dxa"/>
            <w:vAlign w:val="center"/>
          </w:tcPr>
          <w:p w14:paraId="38ED9F20" w14:textId="77777777" w:rsidR="002E4193" w:rsidRPr="00C75AD7" w:rsidRDefault="002E4193" w:rsidP="00094E41">
            <w:pPr>
              <w:pStyle w:val="microblujustify"/>
              <w:spacing w:before="0" w:beforeAutospacing="0" w:after="0" w:afterAutospacing="0"/>
              <w:jc w:val="both"/>
              <w:rPr>
                <w:rFonts w:ascii="Arial" w:hAnsi="Arial" w:cs="Arial"/>
                <w:sz w:val="20"/>
                <w:szCs w:val="20"/>
              </w:rPr>
            </w:pPr>
            <w:r w:rsidRPr="00C75AD7">
              <w:rPr>
                <w:rFonts w:ascii="Arial" w:hAnsi="Arial" w:cs="Arial"/>
                <w:sz w:val="20"/>
                <w:szCs w:val="20"/>
                <w:lang w:val="x-none"/>
              </w:rPr>
              <w:t>Visualizzare, analizzare e confrontare i servizi cloud utilizzando set di dati e metriche, tra cui parametri di riferimento e di performance, dati storici di disponibilità, prezzi, funzionalità e funzionalità</w:t>
            </w:r>
          </w:p>
        </w:tc>
        <w:tc>
          <w:tcPr>
            <w:tcW w:w="702" w:type="dxa"/>
          </w:tcPr>
          <w:p w14:paraId="0EFE4E9E" w14:textId="77777777" w:rsidR="002E4193" w:rsidRPr="00C75AD7" w:rsidRDefault="002E4193" w:rsidP="00094E41">
            <w:pPr>
              <w:spacing w:line="360" w:lineRule="auto"/>
              <w:jc w:val="both"/>
              <w:rPr>
                <w:rFonts w:ascii="Arial" w:hAnsi="Arial" w:cs="Arial"/>
                <w:bCs/>
                <w:i/>
                <w:sz w:val="20"/>
                <w:szCs w:val="20"/>
                <w:highlight w:val="green"/>
              </w:rPr>
            </w:pPr>
          </w:p>
        </w:tc>
      </w:tr>
    </w:tbl>
    <w:p w14:paraId="1598B908" w14:textId="77777777" w:rsidR="002E4193" w:rsidRPr="00C75AD7" w:rsidRDefault="002E4193" w:rsidP="002E4193">
      <w:pPr>
        <w:spacing w:line="276" w:lineRule="auto"/>
        <w:jc w:val="both"/>
        <w:rPr>
          <w:rFonts w:ascii="Arial" w:hAnsi="Arial" w:cs="Arial"/>
          <w:bCs/>
          <w:sz w:val="20"/>
          <w:szCs w:val="20"/>
        </w:rPr>
      </w:pPr>
    </w:p>
    <w:p w14:paraId="3774AB60" w14:textId="139DC845" w:rsidR="002E4193" w:rsidRPr="00C75AD7" w:rsidRDefault="002E4193">
      <w:pPr>
        <w:numPr>
          <w:ilvl w:val="0"/>
          <w:numId w:val="3"/>
        </w:numPr>
        <w:jc w:val="both"/>
        <w:rPr>
          <w:rFonts w:ascii="Arial" w:hAnsi="Arial" w:cs="Arial"/>
        </w:rPr>
      </w:pPr>
      <w:r w:rsidRPr="00C75AD7">
        <w:rPr>
          <w:rFonts w:ascii="Arial" w:hAnsi="Arial" w:cs="Arial"/>
          <w:sz w:val="20"/>
          <w:szCs w:val="20"/>
        </w:rPr>
        <w:t>[R15] Sulla base delle esigenze formative, l’Azienda è in grado di garantire la partecipazione di personale Sogei a eventi, svolti anche on line, con le seguenti caratteristiche? Qualora la ricerca indicata non sia disponibile, indicare “N.D.”</w:t>
      </w:r>
    </w:p>
    <w:p w14:paraId="3DAD3A8C" w14:textId="77777777" w:rsidR="002E4193" w:rsidRPr="00C75AD7" w:rsidRDefault="002E4193" w:rsidP="002E4193">
      <w:pPr>
        <w:pStyle w:val="Titolo1"/>
        <w:numPr>
          <w:ilvl w:val="0"/>
          <w:numId w:val="0"/>
        </w:numPr>
        <w:rPr>
          <w:rFonts w:cs="Arial"/>
          <w:szCs w:val="22"/>
        </w:rPr>
      </w:pPr>
      <w:r w:rsidRPr="00C75AD7">
        <w:rPr>
          <w:rFonts w:cs="Arial"/>
          <w:szCs w:val="22"/>
        </w:rPr>
        <w:t>Risposta (barrare con una X)</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5636"/>
        <w:gridCol w:w="709"/>
      </w:tblGrid>
      <w:tr w:rsidR="002E4193" w:rsidRPr="00C66F03" w14:paraId="695C2F03" w14:textId="77777777" w:rsidTr="00094E41">
        <w:tc>
          <w:tcPr>
            <w:tcW w:w="1192" w:type="dxa"/>
            <w:tcBorders>
              <w:top w:val="nil"/>
              <w:left w:val="nil"/>
              <w:bottom w:val="single" w:sz="4" w:space="0" w:color="auto"/>
              <w:right w:val="nil"/>
            </w:tcBorders>
            <w:vAlign w:val="center"/>
          </w:tcPr>
          <w:p w14:paraId="39ABE474" w14:textId="77777777" w:rsidR="002E4193" w:rsidRPr="00C75AD7" w:rsidRDefault="002E4193" w:rsidP="00094E41">
            <w:pPr>
              <w:spacing w:line="360" w:lineRule="auto"/>
              <w:rPr>
                <w:rFonts w:ascii="Arial" w:hAnsi="Arial" w:cs="Arial"/>
                <w:b/>
                <w:sz w:val="20"/>
                <w:szCs w:val="20"/>
              </w:rPr>
            </w:pPr>
          </w:p>
        </w:tc>
        <w:tc>
          <w:tcPr>
            <w:tcW w:w="5636" w:type="dxa"/>
            <w:tcBorders>
              <w:top w:val="nil"/>
              <w:left w:val="nil"/>
              <w:bottom w:val="single" w:sz="4" w:space="0" w:color="auto"/>
              <w:right w:val="single" w:sz="4" w:space="0" w:color="auto"/>
            </w:tcBorders>
            <w:vAlign w:val="center"/>
          </w:tcPr>
          <w:p w14:paraId="1267F695" w14:textId="77777777" w:rsidR="002E4193" w:rsidRPr="00C75AD7" w:rsidRDefault="002E4193" w:rsidP="00094E41">
            <w:pPr>
              <w:jc w:val="both"/>
              <w:rPr>
                <w:rFonts w:ascii="Arial" w:hAnsi="Arial" w:cs="Arial"/>
                <w:sz w:val="20"/>
                <w:szCs w:val="20"/>
              </w:rPr>
            </w:pPr>
          </w:p>
        </w:tc>
        <w:tc>
          <w:tcPr>
            <w:tcW w:w="709" w:type="dxa"/>
            <w:tcBorders>
              <w:left w:val="single" w:sz="4" w:space="0" w:color="auto"/>
            </w:tcBorders>
          </w:tcPr>
          <w:p w14:paraId="396B6DB3" w14:textId="77777777" w:rsidR="002E4193" w:rsidRPr="00C75AD7" w:rsidRDefault="002E4193" w:rsidP="00094E41">
            <w:pPr>
              <w:spacing w:line="360" w:lineRule="auto"/>
              <w:jc w:val="center"/>
              <w:rPr>
                <w:rFonts w:ascii="Arial" w:hAnsi="Arial" w:cs="Arial"/>
                <w:b/>
                <w:bCs/>
                <w:sz w:val="20"/>
                <w:szCs w:val="20"/>
              </w:rPr>
            </w:pPr>
            <w:r w:rsidRPr="00C75AD7">
              <w:rPr>
                <w:rFonts w:ascii="Arial" w:hAnsi="Arial" w:cs="Arial"/>
                <w:b/>
                <w:bCs/>
                <w:szCs w:val="20"/>
              </w:rPr>
              <w:t>Sì</w:t>
            </w:r>
          </w:p>
        </w:tc>
      </w:tr>
      <w:tr w:rsidR="002E4193" w:rsidRPr="00C66F03" w14:paraId="59E51365" w14:textId="77777777" w:rsidTr="00094E41">
        <w:tc>
          <w:tcPr>
            <w:tcW w:w="1192" w:type="dxa"/>
            <w:vMerge w:val="restart"/>
            <w:tcBorders>
              <w:top w:val="single" w:sz="4" w:space="0" w:color="auto"/>
            </w:tcBorders>
            <w:vAlign w:val="center"/>
          </w:tcPr>
          <w:p w14:paraId="10846EC5" w14:textId="77777777" w:rsidR="002E4193" w:rsidRPr="00C75AD7" w:rsidRDefault="002E4193" w:rsidP="00094E41">
            <w:pPr>
              <w:spacing w:line="360" w:lineRule="auto"/>
              <w:rPr>
                <w:rFonts w:ascii="Arial" w:hAnsi="Arial" w:cs="Arial"/>
                <w:b/>
                <w:sz w:val="20"/>
                <w:szCs w:val="20"/>
                <w:lang w:val="en-US"/>
              </w:rPr>
            </w:pPr>
            <w:r w:rsidRPr="00C75AD7">
              <w:rPr>
                <w:rFonts w:ascii="Arial" w:hAnsi="Arial" w:cs="Arial"/>
                <w:b/>
                <w:sz w:val="20"/>
                <w:szCs w:val="20"/>
                <w:lang w:val="en-US"/>
              </w:rPr>
              <w:t xml:space="preserve">Formazione ed </w:t>
            </w:r>
            <w:proofErr w:type="spellStart"/>
            <w:r w:rsidRPr="00C75AD7">
              <w:rPr>
                <w:rFonts w:ascii="Arial" w:hAnsi="Arial" w:cs="Arial"/>
                <w:b/>
                <w:sz w:val="20"/>
                <w:szCs w:val="20"/>
                <w:lang w:val="en-US"/>
              </w:rPr>
              <w:t>eventi</w:t>
            </w:r>
            <w:proofErr w:type="spellEnd"/>
          </w:p>
        </w:tc>
        <w:tc>
          <w:tcPr>
            <w:tcW w:w="5636" w:type="dxa"/>
            <w:tcBorders>
              <w:top w:val="single" w:sz="4" w:space="0" w:color="auto"/>
            </w:tcBorders>
            <w:vAlign w:val="center"/>
          </w:tcPr>
          <w:p w14:paraId="439A2587" w14:textId="1E3E5A4D" w:rsidR="002E4193" w:rsidRPr="00C75AD7" w:rsidRDefault="002E4193" w:rsidP="00094E41">
            <w:pPr>
              <w:jc w:val="both"/>
              <w:rPr>
                <w:rFonts w:ascii="Arial" w:hAnsi="Arial" w:cs="Arial"/>
                <w:bCs/>
                <w:i/>
                <w:sz w:val="20"/>
                <w:szCs w:val="20"/>
              </w:rPr>
            </w:pPr>
            <w:r w:rsidRPr="00C75AD7">
              <w:rPr>
                <w:rFonts w:ascii="Arial" w:hAnsi="Arial" w:cs="Arial"/>
                <w:sz w:val="20"/>
                <w:szCs w:val="20"/>
              </w:rPr>
              <w:t xml:space="preserve">Un Evento internazionale all’anno dedicato ai CIO e agli IT Executive europei </w:t>
            </w:r>
            <w:r w:rsidR="00826F58" w:rsidRPr="00C75AD7">
              <w:rPr>
                <w:rFonts w:ascii="Arial" w:hAnsi="Arial" w:cs="Arial"/>
                <w:sz w:val="20"/>
                <w:szCs w:val="20"/>
              </w:rPr>
              <w:t>della</w:t>
            </w:r>
            <w:r w:rsidRPr="00C75AD7">
              <w:rPr>
                <w:rFonts w:ascii="Arial" w:hAnsi="Arial" w:cs="Arial"/>
                <w:sz w:val="20"/>
                <w:szCs w:val="20"/>
              </w:rPr>
              <w:t xml:space="preserve"> durata di almeno quattro giorni.</w:t>
            </w:r>
          </w:p>
        </w:tc>
        <w:tc>
          <w:tcPr>
            <w:tcW w:w="709" w:type="dxa"/>
          </w:tcPr>
          <w:p w14:paraId="0B9E7B19"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31863CC8" w14:textId="77777777" w:rsidTr="00094E41">
        <w:tc>
          <w:tcPr>
            <w:tcW w:w="1192" w:type="dxa"/>
            <w:vMerge/>
            <w:vAlign w:val="center"/>
          </w:tcPr>
          <w:p w14:paraId="4425F510" w14:textId="77777777" w:rsidR="002E4193" w:rsidRPr="00C75AD7" w:rsidRDefault="002E4193" w:rsidP="00094E41">
            <w:pPr>
              <w:spacing w:line="360" w:lineRule="auto"/>
              <w:rPr>
                <w:rFonts w:ascii="Arial" w:hAnsi="Arial" w:cs="Arial"/>
                <w:b/>
                <w:sz w:val="20"/>
                <w:szCs w:val="20"/>
              </w:rPr>
            </w:pPr>
          </w:p>
        </w:tc>
        <w:tc>
          <w:tcPr>
            <w:tcW w:w="5636" w:type="dxa"/>
            <w:tcBorders>
              <w:top w:val="single" w:sz="4" w:space="0" w:color="auto"/>
            </w:tcBorders>
            <w:vAlign w:val="center"/>
          </w:tcPr>
          <w:p w14:paraId="7F374BD0" w14:textId="77777777" w:rsidR="002E4193" w:rsidRPr="00C75AD7" w:rsidRDefault="002E4193" w:rsidP="00094E41">
            <w:pPr>
              <w:jc w:val="both"/>
              <w:rPr>
                <w:rFonts w:ascii="Arial" w:hAnsi="Arial" w:cs="Arial"/>
                <w:sz w:val="20"/>
                <w:szCs w:val="20"/>
              </w:rPr>
            </w:pPr>
            <w:r w:rsidRPr="00C75AD7">
              <w:rPr>
                <w:rFonts w:ascii="Arial" w:hAnsi="Arial" w:cs="Arial"/>
                <w:sz w:val="20"/>
                <w:szCs w:val="20"/>
              </w:rPr>
              <w:t>Un Evento internazionale all’anno dedicato ai soli CIO Europei della durata di almeno due giorni</w:t>
            </w:r>
          </w:p>
        </w:tc>
        <w:tc>
          <w:tcPr>
            <w:tcW w:w="709" w:type="dxa"/>
          </w:tcPr>
          <w:p w14:paraId="07646513"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5137B6F0" w14:textId="77777777" w:rsidTr="00094E41">
        <w:tc>
          <w:tcPr>
            <w:tcW w:w="1192" w:type="dxa"/>
            <w:vMerge/>
          </w:tcPr>
          <w:p w14:paraId="05D684F3" w14:textId="77777777" w:rsidR="002E4193" w:rsidRPr="00C75AD7" w:rsidRDefault="002E4193" w:rsidP="00094E41">
            <w:pPr>
              <w:spacing w:line="360" w:lineRule="auto"/>
              <w:jc w:val="both"/>
              <w:rPr>
                <w:rFonts w:ascii="Arial" w:hAnsi="Arial" w:cs="Arial"/>
                <w:bCs/>
                <w:i/>
                <w:sz w:val="20"/>
                <w:szCs w:val="20"/>
                <w:highlight w:val="green"/>
              </w:rPr>
            </w:pPr>
          </w:p>
        </w:tc>
        <w:tc>
          <w:tcPr>
            <w:tcW w:w="5636" w:type="dxa"/>
            <w:vAlign w:val="center"/>
          </w:tcPr>
          <w:p w14:paraId="11B70BE9" w14:textId="68D74792" w:rsidR="002E4193" w:rsidRPr="00C75AD7" w:rsidRDefault="002E4193" w:rsidP="00094E41">
            <w:pPr>
              <w:jc w:val="both"/>
              <w:rPr>
                <w:rFonts w:ascii="Arial" w:hAnsi="Arial" w:cs="Arial"/>
                <w:sz w:val="20"/>
                <w:szCs w:val="20"/>
              </w:rPr>
            </w:pPr>
            <w:r w:rsidRPr="00C75AD7">
              <w:rPr>
                <w:rFonts w:ascii="Arial" w:hAnsi="Arial" w:cs="Arial"/>
                <w:sz w:val="20"/>
                <w:szCs w:val="20"/>
              </w:rPr>
              <w:t xml:space="preserve">Un evento </w:t>
            </w:r>
            <w:r w:rsidR="00826F58" w:rsidRPr="00C75AD7">
              <w:rPr>
                <w:rFonts w:ascii="Arial" w:hAnsi="Arial" w:cs="Arial"/>
                <w:sz w:val="20"/>
                <w:szCs w:val="20"/>
              </w:rPr>
              <w:t>italiano</w:t>
            </w:r>
            <w:r w:rsidRPr="00C75AD7">
              <w:rPr>
                <w:rFonts w:ascii="Arial" w:hAnsi="Arial" w:cs="Arial"/>
                <w:sz w:val="20"/>
                <w:szCs w:val="20"/>
              </w:rPr>
              <w:t xml:space="preserve"> all’anno dedicato ai CIO e agli IT Executive delle principali aziende e amministrazioni italiane della durata di almeno due giorni</w:t>
            </w:r>
          </w:p>
        </w:tc>
        <w:tc>
          <w:tcPr>
            <w:tcW w:w="709" w:type="dxa"/>
          </w:tcPr>
          <w:p w14:paraId="3650B4E0"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26D56080" w14:textId="77777777" w:rsidTr="00094E41">
        <w:tc>
          <w:tcPr>
            <w:tcW w:w="1192" w:type="dxa"/>
            <w:vMerge/>
          </w:tcPr>
          <w:p w14:paraId="6171EC8D" w14:textId="77777777" w:rsidR="002E4193" w:rsidRPr="00C75AD7" w:rsidRDefault="002E4193" w:rsidP="00094E41">
            <w:pPr>
              <w:spacing w:line="360" w:lineRule="auto"/>
              <w:jc w:val="both"/>
              <w:rPr>
                <w:rFonts w:ascii="Arial" w:hAnsi="Arial" w:cs="Arial"/>
                <w:bCs/>
                <w:i/>
                <w:sz w:val="20"/>
                <w:szCs w:val="20"/>
                <w:highlight w:val="green"/>
              </w:rPr>
            </w:pPr>
          </w:p>
        </w:tc>
        <w:tc>
          <w:tcPr>
            <w:tcW w:w="5636" w:type="dxa"/>
            <w:vAlign w:val="center"/>
          </w:tcPr>
          <w:p w14:paraId="6A8CD57B" w14:textId="67B2B440" w:rsidR="002E4193" w:rsidRPr="00C75AD7" w:rsidRDefault="002E4193" w:rsidP="00094E41">
            <w:pPr>
              <w:jc w:val="both"/>
              <w:rPr>
                <w:rFonts w:ascii="Arial" w:hAnsi="Arial" w:cs="Arial"/>
                <w:sz w:val="20"/>
                <w:szCs w:val="20"/>
              </w:rPr>
            </w:pPr>
            <w:r w:rsidRPr="00C75AD7">
              <w:rPr>
                <w:rFonts w:ascii="Arial" w:hAnsi="Arial" w:cs="Arial"/>
                <w:sz w:val="20"/>
                <w:szCs w:val="20"/>
              </w:rPr>
              <w:t xml:space="preserve">Per ognuno dei seguenti ambiti l’Azienda </w:t>
            </w:r>
            <w:r w:rsidR="00826F58" w:rsidRPr="00C75AD7">
              <w:rPr>
                <w:rFonts w:ascii="Arial" w:hAnsi="Arial" w:cs="Arial"/>
                <w:sz w:val="20"/>
                <w:szCs w:val="20"/>
              </w:rPr>
              <w:t>ga</w:t>
            </w:r>
            <w:r w:rsidR="002C6A93" w:rsidRPr="00C75AD7">
              <w:rPr>
                <w:rFonts w:ascii="Arial" w:hAnsi="Arial" w:cs="Arial"/>
                <w:sz w:val="20"/>
                <w:szCs w:val="20"/>
              </w:rPr>
              <w:t>r</w:t>
            </w:r>
            <w:r w:rsidR="00826F58" w:rsidRPr="00C75AD7">
              <w:rPr>
                <w:rFonts w:ascii="Arial" w:hAnsi="Arial" w:cs="Arial"/>
                <w:sz w:val="20"/>
                <w:szCs w:val="20"/>
              </w:rPr>
              <w:t>antisce</w:t>
            </w:r>
            <w:r w:rsidRPr="00C75AD7">
              <w:rPr>
                <w:rFonts w:ascii="Arial" w:hAnsi="Arial" w:cs="Arial"/>
                <w:sz w:val="20"/>
                <w:szCs w:val="20"/>
              </w:rPr>
              <w:t xml:space="preserve"> almeno un evento annuale della durata di almeno due giorni:</w:t>
            </w:r>
          </w:p>
          <w:p w14:paraId="37E6BDFB" w14:textId="77777777" w:rsidR="002E4193" w:rsidRPr="00C75AD7" w:rsidRDefault="002E4193">
            <w:pPr>
              <w:pStyle w:val="Paragrafoelenco"/>
              <w:numPr>
                <w:ilvl w:val="0"/>
                <w:numId w:val="21"/>
              </w:numPr>
              <w:jc w:val="both"/>
              <w:rPr>
                <w:rFonts w:ascii="Arial" w:hAnsi="Arial" w:cs="Arial"/>
                <w:sz w:val="20"/>
                <w:szCs w:val="20"/>
                <w:lang w:val="en-US"/>
              </w:rPr>
            </w:pPr>
            <w:r w:rsidRPr="00C75AD7">
              <w:rPr>
                <w:rFonts w:ascii="Arial" w:hAnsi="Arial" w:cs="Arial"/>
                <w:sz w:val="20"/>
                <w:szCs w:val="20"/>
                <w:lang w:val="en-US"/>
              </w:rPr>
              <w:t>Identity and Access Management</w:t>
            </w:r>
          </w:p>
          <w:p w14:paraId="2A13080C" w14:textId="77777777" w:rsidR="002E4193" w:rsidRPr="00C75AD7" w:rsidRDefault="002E4193">
            <w:pPr>
              <w:pStyle w:val="Paragrafoelenco"/>
              <w:numPr>
                <w:ilvl w:val="0"/>
                <w:numId w:val="21"/>
              </w:numPr>
              <w:jc w:val="both"/>
              <w:rPr>
                <w:rFonts w:ascii="Arial" w:hAnsi="Arial" w:cs="Arial"/>
                <w:sz w:val="20"/>
                <w:szCs w:val="20"/>
                <w:lang w:val="en-US"/>
              </w:rPr>
            </w:pPr>
            <w:r w:rsidRPr="00C75AD7">
              <w:rPr>
                <w:rFonts w:ascii="Arial" w:hAnsi="Arial" w:cs="Arial"/>
                <w:sz w:val="20"/>
                <w:szCs w:val="20"/>
                <w:lang w:val="en-US"/>
              </w:rPr>
              <w:t>Data and Analytics</w:t>
            </w:r>
          </w:p>
          <w:p w14:paraId="3728813D" w14:textId="77777777" w:rsidR="002E4193" w:rsidRPr="00C75AD7" w:rsidRDefault="002E4193">
            <w:pPr>
              <w:pStyle w:val="Paragrafoelenco"/>
              <w:numPr>
                <w:ilvl w:val="0"/>
                <w:numId w:val="21"/>
              </w:numPr>
              <w:jc w:val="both"/>
              <w:rPr>
                <w:rFonts w:ascii="Arial" w:hAnsi="Arial" w:cs="Arial"/>
                <w:sz w:val="20"/>
                <w:szCs w:val="20"/>
                <w:lang w:val="en-US"/>
              </w:rPr>
            </w:pPr>
            <w:r w:rsidRPr="00C75AD7">
              <w:rPr>
                <w:rFonts w:ascii="Arial" w:hAnsi="Arial" w:cs="Arial"/>
                <w:sz w:val="20"/>
                <w:szCs w:val="20"/>
                <w:lang w:val="en-US"/>
              </w:rPr>
              <w:t>Digital Workplace</w:t>
            </w:r>
          </w:p>
          <w:p w14:paraId="27F2C293" w14:textId="77777777" w:rsidR="002E4193" w:rsidRPr="00C75AD7" w:rsidRDefault="002E4193">
            <w:pPr>
              <w:pStyle w:val="Paragrafoelenco"/>
              <w:numPr>
                <w:ilvl w:val="0"/>
                <w:numId w:val="21"/>
              </w:numPr>
              <w:jc w:val="both"/>
              <w:rPr>
                <w:rFonts w:ascii="Arial" w:hAnsi="Arial" w:cs="Arial"/>
                <w:sz w:val="20"/>
                <w:szCs w:val="20"/>
                <w:lang w:val="en-US"/>
              </w:rPr>
            </w:pPr>
            <w:r w:rsidRPr="00C75AD7">
              <w:rPr>
                <w:rFonts w:ascii="Arial" w:hAnsi="Arial" w:cs="Arial"/>
                <w:sz w:val="20"/>
                <w:szCs w:val="20"/>
                <w:lang w:val="en-US"/>
              </w:rPr>
              <w:t>Security and Risk Management</w:t>
            </w:r>
          </w:p>
          <w:p w14:paraId="271F4AD5" w14:textId="7D0991BA" w:rsidR="002E4193" w:rsidRPr="00C75AD7" w:rsidRDefault="002E4193">
            <w:pPr>
              <w:pStyle w:val="Paragrafoelenco"/>
              <w:numPr>
                <w:ilvl w:val="0"/>
                <w:numId w:val="21"/>
              </w:numPr>
              <w:jc w:val="both"/>
              <w:rPr>
                <w:rFonts w:ascii="Arial" w:hAnsi="Arial" w:cs="Arial"/>
                <w:bCs/>
                <w:i/>
                <w:sz w:val="20"/>
                <w:szCs w:val="20"/>
              </w:rPr>
            </w:pPr>
            <w:r w:rsidRPr="00C75AD7">
              <w:rPr>
                <w:rFonts w:ascii="Arial" w:hAnsi="Arial" w:cs="Arial"/>
                <w:sz w:val="20"/>
                <w:szCs w:val="20"/>
              </w:rPr>
              <w:lastRenderedPageBreak/>
              <w:t>IT Infrastructure and Cloud</w:t>
            </w:r>
          </w:p>
        </w:tc>
        <w:tc>
          <w:tcPr>
            <w:tcW w:w="709" w:type="dxa"/>
          </w:tcPr>
          <w:p w14:paraId="7686A784" w14:textId="77777777" w:rsidR="002E4193" w:rsidRPr="00C75AD7" w:rsidRDefault="002E4193" w:rsidP="00094E41">
            <w:pPr>
              <w:spacing w:line="360" w:lineRule="auto"/>
              <w:jc w:val="both"/>
              <w:rPr>
                <w:rFonts w:ascii="Arial" w:hAnsi="Arial" w:cs="Arial"/>
                <w:bCs/>
                <w:i/>
                <w:sz w:val="20"/>
                <w:szCs w:val="20"/>
                <w:highlight w:val="green"/>
              </w:rPr>
            </w:pPr>
          </w:p>
        </w:tc>
      </w:tr>
      <w:tr w:rsidR="002E4193" w:rsidRPr="00C66F03" w14:paraId="03138FE2" w14:textId="77777777" w:rsidTr="00094E41">
        <w:tc>
          <w:tcPr>
            <w:tcW w:w="1192" w:type="dxa"/>
            <w:vMerge/>
          </w:tcPr>
          <w:p w14:paraId="62E3D78E" w14:textId="77777777" w:rsidR="002E4193" w:rsidRPr="00C75AD7" w:rsidRDefault="002E4193" w:rsidP="00094E41">
            <w:pPr>
              <w:spacing w:line="360" w:lineRule="auto"/>
              <w:jc w:val="both"/>
              <w:rPr>
                <w:rFonts w:ascii="Arial" w:hAnsi="Arial" w:cs="Arial"/>
                <w:bCs/>
                <w:i/>
                <w:sz w:val="20"/>
                <w:szCs w:val="20"/>
                <w:highlight w:val="green"/>
              </w:rPr>
            </w:pPr>
          </w:p>
        </w:tc>
        <w:tc>
          <w:tcPr>
            <w:tcW w:w="5636" w:type="dxa"/>
            <w:vAlign w:val="center"/>
          </w:tcPr>
          <w:p w14:paraId="59D1403F" w14:textId="13A542F3" w:rsidR="002E4193" w:rsidRPr="00C75AD7" w:rsidRDefault="002E4193" w:rsidP="00094E41">
            <w:pPr>
              <w:jc w:val="both"/>
              <w:rPr>
                <w:rFonts w:ascii="Arial" w:hAnsi="Arial" w:cs="Arial"/>
                <w:sz w:val="20"/>
                <w:szCs w:val="20"/>
              </w:rPr>
            </w:pPr>
            <w:r w:rsidRPr="00C75AD7">
              <w:rPr>
                <w:rFonts w:ascii="Arial" w:hAnsi="Arial" w:cs="Arial"/>
                <w:sz w:val="20"/>
                <w:szCs w:val="20"/>
              </w:rPr>
              <w:t>Disponibilità di un</w:t>
            </w:r>
            <w:r w:rsidR="00826F58" w:rsidRPr="00C75AD7">
              <w:rPr>
                <w:rFonts w:ascii="Arial" w:hAnsi="Arial" w:cs="Arial"/>
                <w:sz w:val="20"/>
                <w:szCs w:val="20"/>
              </w:rPr>
              <w:t>’</w:t>
            </w:r>
            <w:r w:rsidRPr="00C75AD7">
              <w:rPr>
                <w:rFonts w:ascii="Arial" w:hAnsi="Arial" w:cs="Arial"/>
                <w:sz w:val="20"/>
                <w:szCs w:val="20"/>
              </w:rPr>
              <w:t xml:space="preserve">unica “app nativa” per smartphones e tablet in cui potrà accedere con le credenziali di accesso alla Banca Dati ICT on line (Strategica, Tecnica e Finance) e in cui potrà selezionare l’agenda dell’evento, vedere la presentazione in streaming e accedervi dopo che l’evento sarà terminato. L’app in questione deve anche permettere di prenotare una sessione </w:t>
            </w:r>
            <w:proofErr w:type="gramStart"/>
            <w:r w:rsidRPr="00C75AD7">
              <w:rPr>
                <w:rFonts w:ascii="Arial" w:hAnsi="Arial" w:cs="Arial"/>
                <w:sz w:val="20"/>
                <w:szCs w:val="20"/>
              </w:rPr>
              <w:t>uno</w:t>
            </w:r>
            <w:proofErr w:type="gramEnd"/>
            <w:r w:rsidRPr="00C75AD7">
              <w:rPr>
                <w:rFonts w:ascii="Arial" w:hAnsi="Arial" w:cs="Arial"/>
                <w:sz w:val="20"/>
                <w:szCs w:val="20"/>
              </w:rPr>
              <w:t xml:space="preserve"> a uno </w:t>
            </w:r>
            <w:r w:rsidR="00826F58" w:rsidRPr="00C75AD7">
              <w:rPr>
                <w:rFonts w:ascii="Arial" w:hAnsi="Arial" w:cs="Arial"/>
                <w:sz w:val="20"/>
                <w:szCs w:val="20"/>
              </w:rPr>
              <w:t xml:space="preserve">con </w:t>
            </w:r>
            <w:r w:rsidRPr="00C75AD7">
              <w:rPr>
                <w:rFonts w:ascii="Arial" w:hAnsi="Arial" w:cs="Arial"/>
                <w:sz w:val="20"/>
                <w:szCs w:val="20"/>
              </w:rPr>
              <w:t xml:space="preserve">gli analisti. </w:t>
            </w:r>
          </w:p>
        </w:tc>
        <w:tc>
          <w:tcPr>
            <w:tcW w:w="709" w:type="dxa"/>
          </w:tcPr>
          <w:p w14:paraId="4B9A8CAC" w14:textId="77777777" w:rsidR="002E4193" w:rsidRPr="00C75AD7" w:rsidRDefault="002E4193" w:rsidP="00094E41">
            <w:pPr>
              <w:spacing w:line="360" w:lineRule="auto"/>
              <w:jc w:val="both"/>
              <w:rPr>
                <w:rFonts w:ascii="Arial" w:hAnsi="Arial" w:cs="Arial"/>
                <w:bCs/>
                <w:i/>
                <w:sz w:val="20"/>
                <w:szCs w:val="20"/>
                <w:highlight w:val="green"/>
              </w:rPr>
            </w:pPr>
          </w:p>
        </w:tc>
      </w:tr>
    </w:tbl>
    <w:p w14:paraId="20838C13" w14:textId="77777777" w:rsidR="002E4193" w:rsidRPr="00C75AD7" w:rsidRDefault="002E4193" w:rsidP="002E4193">
      <w:pPr>
        <w:spacing w:line="276" w:lineRule="auto"/>
        <w:jc w:val="both"/>
        <w:rPr>
          <w:rFonts w:ascii="Arial" w:hAnsi="Arial" w:cs="Arial"/>
          <w:bCs/>
          <w:sz w:val="20"/>
          <w:szCs w:val="20"/>
        </w:rPr>
      </w:pPr>
    </w:p>
    <w:p w14:paraId="345657B0" w14:textId="77777777" w:rsidR="00C21D5E" w:rsidRPr="00C75AD7" w:rsidRDefault="00C21D5E" w:rsidP="00C75AD7">
      <w:pPr>
        <w:spacing w:after="120" w:line="276" w:lineRule="auto"/>
        <w:ind w:left="360"/>
        <w:jc w:val="both"/>
        <w:rPr>
          <w:rFonts w:ascii="Arial" w:hAnsi="Arial" w:cs="Arial"/>
          <w:sz w:val="20"/>
          <w:szCs w:val="20"/>
        </w:rPr>
      </w:pPr>
    </w:p>
    <w:p w14:paraId="19278B3E" w14:textId="77777777" w:rsidR="00DC69C7" w:rsidRPr="00C66F03" w:rsidRDefault="00DC69C7">
      <w:pPr>
        <w:jc w:val="both"/>
        <w:rPr>
          <w:rFonts w:ascii="Arial" w:hAnsi="Arial" w:cs="Arial"/>
          <w:sz w:val="20"/>
          <w:szCs w:val="20"/>
        </w:rPr>
      </w:pPr>
    </w:p>
    <w:p w14:paraId="1D1589E4" w14:textId="77777777" w:rsidR="00DC69C7" w:rsidRPr="00C66F03" w:rsidRDefault="00522FB0">
      <w:pPr>
        <w:spacing w:line="276" w:lineRule="auto"/>
        <w:jc w:val="both"/>
        <w:rPr>
          <w:rFonts w:ascii="Arial" w:hAnsi="Arial" w:cs="Arial"/>
          <w:bCs/>
          <w:sz w:val="20"/>
          <w:szCs w:val="20"/>
        </w:rPr>
      </w:pPr>
      <w:r w:rsidRPr="00C66F03">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C66F03" w:rsidRDefault="00DC69C7">
      <w:pPr>
        <w:ind w:left="284"/>
        <w:jc w:val="both"/>
        <w:rPr>
          <w:rFonts w:ascii="Arial" w:hAnsi="Arial" w:cs="Arial"/>
          <w:i/>
          <w:color w:val="0000FF"/>
          <w:sz w:val="20"/>
          <w:szCs w:val="20"/>
        </w:rPr>
      </w:pPr>
    </w:p>
    <w:p w14:paraId="634BD711" w14:textId="77777777" w:rsidR="00DC69C7" w:rsidRPr="00C66F03"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C66F03"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C66F03" w:rsidRDefault="00522FB0">
            <w:pPr>
              <w:ind w:left="284"/>
              <w:jc w:val="center"/>
              <w:rPr>
                <w:rFonts w:ascii="Arial" w:hAnsi="Arial" w:cs="Arial"/>
                <w:b/>
                <w:sz w:val="22"/>
                <w:szCs w:val="22"/>
              </w:rPr>
            </w:pPr>
            <w:r w:rsidRPr="00C66F03">
              <w:rPr>
                <w:rFonts w:ascii="Arial" w:hAnsi="Arial" w:cs="Arial"/>
                <w:b/>
                <w:bCs/>
                <w:sz w:val="20"/>
                <w:szCs w:val="20"/>
              </w:rPr>
              <w:t>Firma operatore economico</w:t>
            </w:r>
          </w:p>
        </w:tc>
      </w:tr>
      <w:tr w:rsidR="00DC69C7" w:rsidRPr="00C66F03" w14:paraId="1B7037AF" w14:textId="77777777">
        <w:tc>
          <w:tcPr>
            <w:tcW w:w="2822" w:type="dxa"/>
            <w:tcBorders>
              <w:top w:val="single" w:sz="4" w:space="0" w:color="FFFFFF" w:themeColor="background1"/>
            </w:tcBorders>
          </w:tcPr>
          <w:p w14:paraId="2CC1A1FD" w14:textId="77777777" w:rsidR="00DC69C7" w:rsidRPr="00C66F03" w:rsidRDefault="00522FB0">
            <w:pPr>
              <w:ind w:left="284"/>
              <w:jc w:val="center"/>
              <w:rPr>
                <w:rFonts w:ascii="Arial" w:hAnsi="Arial" w:cs="Arial"/>
                <w:bCs/>
                <w:color w:val="0070C0"/>
                <w:sz w:val="20"/>
                <w:szCs w:val="20"/>
                <w:highlight w:val="yellow"/>
              </w:rPr>
            </w:pPr>
            <w:r w:rsidRPr="00C66F03">
              <w:rPr>
                <w:rFonts w:ascii="Arial" w:hAnsi="Arial" w:cs="Arial"/>
                <w:bCs/>
                <w:color w:val="0070C0"/>
                <w:sz w:val="20"/>
                <w:szCs w:val="20"/>
              </w:rPr>
              <w:t>[Nome e Cognome]</w:t>
            </w:r>
          </w:p>
        </w:tc>
      </w:tr>
      <w:tr w:rsidR="00DC69C7" w:rsidRPr="00C66F03" w14:paraId="07009FCE" w14:textId="77777777">
        <w:trPr>
          <w:trHeight w:val="413"/>
        </w:trPr>
        <w:tc>
          <w:tcPr>
            <w:tcW w:w="2822" w:type="dxa"/>
          </w:tcPr>
          <w:p w14:paraId="3B150712" w14:textId="77777777" w:rsidR="00DC69C7" w:rsidRPr="00C66F03" w:rsidRDefault="00DC69C7">
            <w:pPr>
              <w:ind w:left="284"/>
              <w:jc w:val="both"/>
              <w:rPr>
                <w:rFonts w:ascii="Arial" w:hAnsi="Arial" w:cs="Arial"/>
                <w:bCs/>
                <w:i/>
                <w:sz w:val="20"/>
                <w:szCs w:val="20"/>
                <w:highlight w:val="yellow"/>
              </w:rPr>
            </w:pPr>
          </w:p>
          <w:p w14:paraId="30BD16DB" w14:textId="77777777" w:rsidR="00DC69C7" w:rsidRPr="00C66F03" w:rsidRDefault="00DC69C7">
            <w:pPr>
              <w:ind w:left="284"/>
              <w:jc w:val="both"/>
              <w:rPr>
                <w:rFonts w:ascii="Arial" w:hAnsi="Arial" w:cs="Arial"/>
                <w:bCs/>
                <w:i/>
                <w:sz w:val="20"/>
                <w:szCs w:val="20"/>
                <w:highlight w:val="yellow"/>
              </w:rPr>
            </w:pPr>
          </w:p>
          <w:p w14:paraId="612296D0" w14:textId="77777777" w:rsidR="00DC69C7" w:rsidRPr="00C66F03" w:rsidRDefault="00522FB0">
            <w:pPr>
              <w:ind w:left="284"/>
              <w:jc w:val="center"/>
              <w:rPr>
                <w:rFonts w:ascii="Arial" w:hAnsi="Arial" w:cs="Arial"/>
                <w:bCs/>
                <w:i/>
                <w:sz w:val="20"/>
                <w:szCs w:val="20"/>
                <w:highlight w:val="yellow"/>
              </w:rPr>
            </w:pPr>
            <w:r w:rsidRPr="00C66F03">
              <w:rPr>
                <w:rFonts w:ascii="Arial" w:hAnsi="Arial" w:cs="Arial"/>
                <w:bCs/>
                <w:i/>
                <w:sz w:val="20"/>
                <w:szCs w:val="20"/>
              </w:rPr>
              <w:t>_____________________</w:t>
            </w:r>
          </w:p>
        </w:tc>
      </w:tr>
    </w:tbl>
    <w:p w14:paraId="3DFF4713" w14:textId="77777777" w:rsidR="00DC69C7" w:rsidRPr="00C66F03" w:rsidRDefault="00DC69C7">
      <w:pPr>
        <w:jc w:val="both"/>
        <w:rPr>
          <w:rFonts w:ascii="Arial" w:hAnsi="Arial" w:cs="Arial"/>
          <w:sz w:val="20"/>
          <w:szCs w:val="20"/>
        </w:rPr>
      </w:pPr>
    </w:p>
    <w:sectPr w:rsidR="00DC69C7" w:rsidRPr="00C66F03">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A5A9" w14:textId="77777777" w:rsidR="00B56985" w:rsidRDefault="00B56985">
      <w:r>
        <w:separator/>
      </w:r>
    </w:p>
  </w:endnote>
  <w:endnote w:type="continuationSeparator" w:id="0">
    <w:p w14:paraId="20D98F05" w14:textId="77777777" w:rsidR="00B56985" w:rsidRDefault="00B5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3BBD9229" w:rsidR="00DC69C7" w:rsidRPr="00C31161" w:rsidRDefault="0025518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729D06A2">
              <wp:simplePos x="0" y="0"/>
              <wp:positionH relativeFrom="margin">
                <wp:align>right</wp:align>
              </wp:positionH>
              <wp:positionV relativeFrom="paragraph">
                <wp:posOffset>200660</wp:posOffset>
              </wp:positionV>
              <wp:extent cx="807720" cy="22860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2860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12.4pt;margin-top:15.8pt;width:63.6pt;height:1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w10:wrap anchorx="margin"/>
            </v:shape>
          </w:pict>
        </mc:Fallback>
      </mc:AlternateContent>
    </w:r>
    <w:r w:rsidR="00522FB0" w:rsidRPr="00C31161">
      <w:rPr>
        <w:rFonts w:ascii="Arial" w:hAnsi="Arial" w:cs="Arial"/>
        <w:color w:val="0079D6"/>
        <w:sz w:val="15"/>
        <w:szCs w:val="15"/>
      </w:rPr>
      <w:t xml:space="preserve">Consip S.p.A. - Consultazione di mercato per </w:t>
    </w:r>
    <w:r w:rsidR="00EE2486">
      <w:rPr>
        <w:rFonts w:ascii="Arial" w:hAnsi="Arial" w:cs="Arial"/>
        <w:color w:val="0079D6"/>
        <w:sz w:val="15"/>
        <w:szCs w:val="15"/>
      </w:rPr>
      <w:t>l’</w:t>
    </w:r>
    <w:r w:rsidR="00EE2486" w:rsidRPr="00EE2486">
      <w:rPr>
        <w:rFonts w:ascii="Arial" w:hAnsi="Arial" w:cs="Arial"/>
        <w:color w:val="0079D6"/>
        <w:sz w:val="15"/>
        <w:szCs w:val="15"/>
      </w:rPr>
      <w:t xml:space="preserve">Acquisizione dei servizi di banche dati </w:t>
    </w:r>
    <w:r w:rsidR="005471CE">
      <w:rPr>
        <w:rFonts w:ascii="Arial" w:hAnsi="Arial" w:cs="Arial"/>
        <w:color w:val="0079D6"/>
        <w:sz w:val="15"/>
        <w:szCs w:val="15"/>
      </w:rPr>
      <w:t xml:space="preserve">Gartner </w:t>
    </w:r>
    <w:r w:rsidR="00EE2486" w:rsidRPr="00EE2486">
      <w:rPr>
        <w:rFonts w:ascii="Arial" w:hAnsi="Arial" w:cs="Arial"/>
        <w:color w:val="0079D6"/>
        <w:sz w:val="15"/>
        <w:szCs w:val="15"/>
      </w:rPr>
      <w:t>per il supporto strategico in ambito ICT per Sogei – ID 30</w:t>
    </w:r>
    <w:r w:rsidR="00CF452D">
      <w:rPr>
        <w:rFonts w:ascii="Arial" w:hAnsi="Arial" w:cs="Arial"/>
        <w:color w:val="0079D6"/>
        <w:sz w:val="15"/>
        <w:szCs w:val="15"/>
      </w:rPr>
      <w:t>10</w:t>
    </w:r>
  </w:p>
  <w:p w14:paraId="60440395" w14:textId="00ADB910"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0E966C18"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CBDA" w14:textId="77777777" w:rsidR="00B56985" w:rsidRDefault="00B56985">
      <w:r>
        <w:separator/>
      </w:r>
    </w:p>
  </w:footnote>
  <w:footnote w:type="continuationSeparator" w:id="0">
    <w:p w14:paraId="64F8C310" w14:textId="77777777" w:rsidR="00B56985" w:rsidRDefault="00B5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F90"/>
    <w:multiLevelType w:val="multilevel"/>
    <w:tmpl w:val="122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64FB9"/>
    <w:multiLevelType w:val="multilevel"/>
    <w:tmpl w:val="5A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91CB7"/>
    <w:multiLevelType w:val="multilevel"/>
    <w:tmpl w:val="968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A1842"/>
    <w:multiLevelType w:val="hybridMultilevel"/>
    <w:tmpl w:val="AD10AFE6"/>
    <w:lvl w:ilvl="0" w:tplc="09A0855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593210A"/>
    <w:multiLevelType w:val="multilevel"/>
    <w:tmpl w:val="56A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0377F"/>
    <w:multiLevelType w:val="multilevel"/>
    <w:tmpl w:val="8908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C27B0"/>
    <w:multiLevelType w:val="hybridMultilevel"/>
    <w:tmpl w:val="66E28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C06BF2"/>
    <w:multiLevelType w:val="hybridMultilevel"/>
    <w:tmpl w:val="4E1634BC"/>
    <w:lvl w:ilvl="0" w:tplc="5BDA5252">
      <w:start w:val="1"/>
      <w:numFmt w:val="decimal"/>
      <w:lvlText w:val="%1."/>
      <w:lvlJc w:val="left"/>
      <w:pPr>
        <w:tabs>
          <w:tab w:val="num" w:pos="360"/>
        </w:tabs>
        <w:ind w:left="360" w:hanging="360"/>
      </w:pPr>
      <w:rPr>
        <w:rFonts w:ascii="Arial" w:hAnsi="Arial" w:cs="Arial" w:hint="default"/>
        <w:i w:val="0"/>
        <w:sz w:val="20"/>
        <w:szCs w:val="2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3457392C"/>
    <w:multiLevelType w:val="hybridMultilevel"/>
    <w:tmpl w:val="30802796"/>
    <w:lvl w:ilvl="0" w:tplc="577A47EC">
      <w:start w:val="1"/>
      <w:numFmt w:val="bullet"/>
      <w:lvlText w:val="-"/>
      <w:lvlJc w:val="left"/>
      <w:pPr>
        <w:ind w:left="1178" w:hanging="360"/>
      </w:pPr>
      <w:rPr>
        <w:rFonts w:ascii="Calibri" w:hAnsi="Calibri" w:hint="default"/>
      </w:rPr>
    </w:lvl>
    <w:lvl w:ilvl="1" w:tplc="04100003" w:tentative="1">
      <w:start w:val="1"/>
      <w:numFmt w:val="bullet"/>
      <w:lvlText w:val="o"/>
      <w:lvlJc w:val="left"/>
      <w:pPr>
        <w:ind w:left="1898" w:hanging="360"/>
      </w:pPr>
      <w:rPr>
        <w:rFonts w:ascii="Courier New" w:hAnsi="Courier New" w:cs="Courier New" w:hint="default"/>
      </w:rPr>
    </w:lvl>
    <w:lvl w:ilvl="2" w:tplc="04100005" w:tentative="1">
      <w:start w:val="1"/>
      <w:numFmt w:val="bullet"/>
      <w:lvlText w:val=""/>
      <w:lvlJc w:val="left"/>
      <w:pPr>
        <w:ind w:left="2618" w:hanging="360"/>
      </w:pPr>
      <w:rPr>
        <w:rFonts w:ascii="Wingdings" w:hAnsi="Wingdings" w:hint="default"/>
      </w:rPr>
    </w:lvl>
    <w:lvl w:ilvl="3" w:tplc="04100001" w:tentative="1">
      <w:start w:val="1"/>
      <w:numFmt w:val="bullet"/>
      <w:lvlText w:val=""/>
      <w:lvlJc w:val="left"/>
      <w:pPr>
        <w:ind w:left="3338" w:hanging="360"/>
      </w:pPr>
      <w:rPr>
        <w:rFonts w:ascii="Symbol" w:hAnsi="Symbol" w:hint="default"/>
      </w:rPr>
    </w:lvl>
    <w:lvl w:ilvl="4" w:tplc="04100003" w:tentative="1">
      <w:start w:val="1"/>
      <w:numFmt w:val="bullet"/>
      <w:lvlText w:val="o"/>
      <w:lvlJc w:val="left"/>
      <w:pPr>
        <w:ind w:left="4058" w:hanging="360"/>
      </w:pPr>
      <w:rPr>
        <w:rFonts w:ascii="Courier New" w:hAnsi="Courier New" w:cs="Courier New" w:hint="default"/>
      </w:rPr>
    </w:lvl>
    <w:lvl w:ilvl="5" w:tplc="04100005" w:tentative="1">
      <w:start w:val="1"/>
      <w:numFmt w:val="bullet"/>
      <w:lvlText w:val=""/>
      <w:lvlJc w:val="left"/>
      <w:pPr>
        <w:ind w:left="4778" w:hanging="360"/>
      </w:pPr>
      <w:rPr>
        <w:rFonts w:ascii="Wingdings" w:hAnsi="Wingdings" w:hint="default"/>
      </w:rPr>
    </w:lvl>
    <w:lvl w:ilvl="6" w:tplc="04100001" w:tentative="1">
      <w:start w:val="1"/>
      <w:numFmt w:val="bullet"/>
      <w:lvlText w:val=""/>
      <w:lvlJc w:val="left"/>
      <w:pPr>
        <w:ind w:left="5498" w:hanging="360"/>
      </w:pPr>
      <w:rPr>
        <w:rFonts w:ascii="Symbol" w:hAnsi="Symbol" w:hint="default"/>
      </w:rPr>
    </w:lvl>
    <w:lvl w:ilvl="7" w:tplc="04100003" w:tentative="1">
      <w:start w:val="1"/>
      <w:numFmt w:val="bullet"/>
      <w:lvlText w:val="o"/>
      <w:lvlJc w:val="left"/>
      <w:pPr>
        <w:ind w:left="6218" w:hanging="360"/>
      </w:pPr>
      <w:rPr>
        <w:rFonts w:ascii="Courier New" w:hAnsi="Courier New" w:cs="Courier New" w:hint="default"/>
      </w:rPr>
    </w:lvl>
    <w:lvl w:ilvl="8" w:tplc="04100005" w:tentative="1">
      <w:start w:val="1"/>
      <w:numFmt w:val="bullet"/>
      <w:lvlText w:val=""/>
      <w:lvlJc w:val="left"/>
      <w:pPr>
        <w:ind w:left="6938" w:hanging="360"/>
      </w:pPr>
      <w:rPr>
        <w:rFonts w:ascii="Wingdings" w:hAnsi="Wingdings" w:hint="default"/>
      </w:rPr>
    </w:lvl>
  </w:abstractNum>
  <w:abstractNum w:abstractNumId="10" w15:restartNumberingAfterBreak="0">
    <w:nsid w:val="36743397"/>
    <w:multiLevelType w:val="multilevel"/>
    <w:tmpl w:val="E064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03B0F"/>
    <w:multiLevelType w:val="hybridMultilevel"/>
    <w:tmpl w:val="D9507264"/>
    <w:lvl w:ilvl="0" w:tplc="09A0855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3"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5A741EE"/>
    <w:multiLevelType w:val="multilevel"/>
    <w:tmpl w:val="0E7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43C81"/>
    <w:multiLevelType w:val="multilevel"/>
    <w:tmpl w:val="9E10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E75E4"/>
    <w:multiLevelType w:val="multilevel"/>
    <w:tmpl w:val="E6CA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10A66"/>
    <w:multiLevelType w:val="multilevel"/>
    <w:tmpl w:val="4FD0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C5528"/>
    <w:multiLevelType w:val="multilevel"/>
    <w:tmpl w:val="3C06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56C49"/>
    <w:multiLevelType w:val="multilevel"/>
    <w:tmpl w:val="D36C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37F2E"/>
    <w:multiLevelType w:val="multilevel"/>
    <w:tmpl w:val="A95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277ED"/>
    <w:multiLevelType w:val="multilevel"/>
    <w:tmpl w:val="2A34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77D35"/>
    <w:multiLevelType w:val="multilevel"/>
    <w:tmpl w:val="5C1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05A0E"/>
    <w:multiLevelType w:val="hybridMultilevel"/>
    <w:tmpl w:val="1B32A2A6"/>
    <w:lvl w:ilvl="0" w:tplc="09A0855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0E704D"/>
    <w:multiLevelType w:val="hybridMultilevel"/>
    <w:tmpl w:val="F4343654"/>
    <w:lvl w:ilvl="0" w:tplc="8F38F9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12"/>
  </w:num>
  <w:num w:numId="2" w16cid:durableId="394013735">
    <w:abstractNumId w:val="13"/>
  </w:num>
  <w:num w:numId="3" w16cid:durableId="1567715110">
    <w:abstractNumId w:val="8"/>
  </w:num>
  <w:num w:numId="4" w16cid:durableId="888954042">
    <w:abstractNumId w:val="4"/>
  </w:num>
  <w:num w:numId="5" w16cid:durableId="1124811824">
    <w:abstractNumId w:val="7"/>
  </w:num>
  <w:num w:numId="6" w16cid:durableId="1589344803">
    <w:abstractNumId w:val="21"/>
  </w:num>
  <w:num w:numId="7" w16cid:durableId="1887064910">
    <w:abstractNumId w:val="1"/>
  </w:num>
  <w:num w:numId="8" w16cid:durableId="1782918254">
    <w:abstractNumId w:val="15"/>
  </w:num>
  <w:num w:numId="9" w16cid:durableId="620041804">
    <w:abstractNumId w:val="17"/>
  </w:num>
  <w:num w:numId="10" w16cid:durableId="1684438060">
    <w:abstractNumId w:val="2"/>
  </w:num>
  <w:num w:numId="11" w16cid:durableId="927662972">
    <w:abstractNumId w:val="16"/>
  </w:num>
  <w:num w:numId="12" w16cid:durableId="1484159531">
    <w:abstractNumId w:val="6"/>
  </w:num>
  <w:num w:numId="13" w16cid:durableId="890656151">
    <w:abstractNumId w:val="18"/>
  </w:num>
  <w:num w:numId="14" w16cid:durableId="1973557332">
    <w:abstractNumId w:val="0"/>
  </w:num>
  <w:num w:numId="15" w16cid:durableId="1854369253">
    <w:abstractNumId w:val="19"/>
  </w:num>
  <w:num w:numId="16" w16cid:durableId="1596397282">
    <w:abstractNumId w:val="20"/>
  </w:num>
  <w:num w:numId="17" w16cid:durableId="702370083">
    <w:abstractNumId w:val="5"/>
  </w:num>
  <w:num w:numId="18" w16cid:durableId="1086415433">
    <w:abstractNumId w:val="14"/>
  </w:num>
  <w:num w:numId="19" w16cid:durableId="1463422394">
    <w:abstractNumId w:val="22"/>
  </w:num>
  <w:num w:numId="20" w16cid:durableId="1069576343">
    <w:abstractNumId w:val="10"/>
  </w:num>
  <w:num w:numId="21" w16cid:durableId="1326398557">
    <w:abstractNumId w:val="24"/>
  </w:num>
  <w:num w:numId="22" w16cid:durableId="1244800757">
    <w:abstractNumId w:val="3"/>
  </w:num>
  <w:num w:numId="23" w16cid:durableId="2024161970">
    <w:abstractNumId w:val="9"/>
  </w:num>
  <w:num w:numId="24" w16cid:durableId="1125122067">
    <w:abstractNumId w:val="23"/>
  </w:num>
  <w:num w:numId="25" w16cid:durableId="117561379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170F7"/>
    <w:rsid w:val="000938A5"/>
    <w:rsid w:val="000B1A8F"/>
    <w:rsid w:val="000B5091"/>
    <w:rsid w:val="000D1487"/>
    <w:rsid w:val="001375CE"/>
    <w:rsid w:val="00142CC1"/>
    <w:rsid w:val="00170B9E"/>
    <w:rsid w:val="0019661C"/>
    <w:rsid w:val="001A620A"/>
    <w:rsid w:val="001C599F"/>
    <w:rsid w:val="001F17FB"/>
    <w:rsid w:val="002373DB"/>
    <w:rsid w:val="00255186"/>
    <w:rsid w:val="002A15C6"/>
    <w:rsid w:val="002C6A93"/>
    <w:rsid w:val="002E4193"/>
    <w:rsid w:val="003D3C65"/>
    <w:rsid w:val="003D4625"/>
    <w:rsid w:val="003D5620"/>
    <w:rsid w:val="00484C96"/>
    <w:rsid w:val="00494DEF"/>
    <w:rsid w:val="00522FB0"/>
    <w:rsid w:val="005271E1"/>
    <w:rsid w:val="005471CE"/>
    <w:rsid w:val="00553A09"/>
    <w:rsid w:val="005974F7"/>
    <w:rsid w:val="005C75C1"/>
    <w:rsid w:val="005C7827"/>
    <w:rsid w:val="005D0D5C"/>
    <w:rsid w:val="005D218D"/>
    <w:rsid w:val="006028E0"/>
    <w:rsid w:val="00610390"/>
    <w:rsid w:val="00641F6F"/>
    <w:rsid w:val="00691365"/>
    <w:rsid w:val="006F6294"/>
    <w:rsid w:val="007057D5"/>
    <w:rsid w:val="00715FA8"/>
    <w:rsid w:val="00786B35"/>
    <w:rsid w:val="007901F4"/>
    <w:rsid w:val="007B7A5E"/>
    <w:rsid w:val="00820975"/>
    <w:rsid w:val="00826F58"/>
    <w:rsid w:val="00867BFB"/>
    <w:rsid w:val="008806F8"/>
    <w:rsid w:val="008A4383"/>
    <w:rsid w:val="009006D6"/>
    <w:rsid w:val="00925B39"/>
    <w:rsid w:val="00931314"/>
    <w:rsid w:val="00976009"/>
    <w:rsid w:val="009B60BF"/>
    <w:rsid w:val="009C13D8"/>
    <w:rsid w:val="00A627A8"/>
    <w:rsid w:val="00AA43E5"/>
    <w:rsid w:val="00AD6E7A"/>
    <w:rsid w:val="00AF788D"/>
    <w:rsid w:val="00B05145"/>
    <w:rsid w:val="00B56985"/>
    <w:rsid w:val="00B83D26"/>
    <w:rsid w:val="00B913E1"/>
    <w:rsid w:val="00BD2EB1"/>
    <w:rsid w:val="00BD3EF0"/>
    <w:rsid w:val="00C037CC"/>
    <w:rsid w:val="00C14B31"/>
    <w:rsid w:val="00C21D5E"/>
    <w:rsid w:val="00C31161"/>
    <w:rsid w:val="00C524B3"/>
    <w:rsid w:val="00C53E64"/>
    <w:rsid w:val="00C66F03"/>
    <w:rsid w:val="00C75AD7"/>
    <w:rsid w:val="00CB1B1E"/>
    <w:rsid w:val="00CB35ED"/>
    <w:rsid w:val="00CC213C"/>
    <w:rsid w:val="00CF452D"/>
    <w:rsid w:val="00D315B1"/>
    <w:rsid w:val="00D5684D"/>
    <w:rsid w:val="00D86622"/>
    <w:rsid w:val="00D95DB5"/>
    <w:rsid w:val="00DB5BD4"/>
    <w:rsid w:val="00DC69C7"/>
    <w:rsid w:val="00E7498A"/>
    <w:rsid w:val="00E74D3A"/>
    <w:rsid w:val="00EB148A"/>
    <w:rsid w:val="00EB5A87"/>
    <w:rsid w:val="00EE2486"/>
    <w:rsid w:val="00EE448E"/>
    <w:rsid w:val="00F2024C"/>
    <w:rsid w:val="00F224A7"/>
    <w:rsid w:val="00F4632C"/>
    <w:rsid w:val="00F64F22"/>
    <w:rsid w:val="00F82995"/>
    <w:rsid w:val="00FC68CA"/>
    <w:rsid w:val="00FD2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494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4920</Words>
  <Characters>30062</Characters>
  <Application>Microsoft Office Word</Application>
  <DocSecurity>0</DocSecurity>
  <Lines>963</Lines>
  <Paragraphs>395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2026-04-29T10:18:00Z</dcterms:created>
  <dcterms:modified xsi:type="dcterms:W3CDTF">2026-05-05T14:27:00Z</dcterms:modified>
</cp:coreProperties>
</file>