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Somma garantita (€) __________________ % del costo dell’opera </w:t>
      </w:r>
      <w:bookmarkStart w:id="0" w:name="_GoBack"/>
      <w:bookmarkEnd w:id="0"/>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1C780E" w:rsidRPr="000416E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54301D">
        <w:rPr>
          <w:rFonts w:cs="TimesNewRoman"/>
          <w:sz w:val="20"/>
          <w:szCs w:val="20"/>
        </w:rPr>
        <w:t xml:space="preserve">Sogei, </w:t>
      </w:r>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54301D">
        <w:rPr>
          <w:rFonts w:cs="TimesNewRoman"/>
          <w:sz w:val="20"/>
          <w:szCs w:val="20"/>
        </w:rPr>
        <w:t xml:space="preserve">Sogei </w:t>
      </w:r>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r w:rsidR="0054301D">
        <w:rPr>
          <w:rFonts w:cs="TimesNewRoman"/>
          <w:sz w:val="20"/>
          <w:szCs w:val="20"/>
        </w:rPr>
        <w:t xml:space="preserve">Sogei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lastRenderedPageBreak/>
        <w:t xml:space="preserve">Il mancato pagamento del premio/commissione non può essere opposto alla </w:t>
      </w:r>
      <w:r w:rsidR="0054301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54301D">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54301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54301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54301D">
        <w:rPr>
          <w:rFonts w:cs="TimesNewRoman"/>
          <w:sz w:val="20"/>
          <w:szCs w:val="20"/>
        </w:rPr>
        <w:t>Sogei</w:t>
      </w:r>
      <w:r w:rsidR="00CF0B3A"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E219C7">
          <w:rPr>
            <w:noProof/>
            <w:color w:val="A6A6A6" w:themeColor="background1" w:themeShade="A6"/>
            <w:sz w:val="18"/>
          </w:rPr>
          <w:t>2</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1541B3"/>
    <w:rsid w:val="001C780E"/>
    <w:rsid w:val="002D3EC7"/>
    <w:rsid w:val="0032779E"/>
    <w:rsid w:val="00402024"/>
    <w:rsid w:val="00480AF7"/>
    <w:rsid w:val="004D13D4"/>
    <w:rsid w:val="004E0930"/>
    <w:rsid w:val="0054301D"/>
    <w:rsid w:val="00602AF8"/>
    <w:rsid w:val="00676BFE"/>
    <w:rsid w:val="006C7A57"/>
    <w:rsid w:val="00722C85"/>
    <w:rsid w:val="0076702E"/>
    <w:rsid w:val="0079140C"/>
    <w:rsid w:val="007A0AF6"/>
    <w:rsid w:val="0084750E"/>
    <w:rsid w:val="008E6D70"/>
    <w:rsid w:val="00933D0E"/>
    <w:rsid w:val="009B04AD"/>
    <w:rsid w:val="00AB2322"/>
    <w:rsid w:val="00C0119D"/>
    <w:rsid w:val="00C563BF"/>
    <w:rsid w:val="00C732B0"/>
    <w:rsid w:val="00C8578D"/>
    <w:rsid w:val="00CD57E3"/>
    <w:rsid w:val="00CF0B3A"/>
    <w:rsid w:val="00E219C7"/>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3C80CF"/>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1E187-7388-43C3-8026-CDA62D043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Pages>
  <Words>1235</Words>
  <Characters>7044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24</cp:revision>
  <cp:lastPrinted>2018-10-05T16:10:00Z</cp:lastPrinted>
  <dcterms:created xsi:type="dcterms:W3CDTF">2018-10-05T16:01:00Z</dcterms:created>
  <dcterms:modified xsi:type="dcterms:W3CDTF">2023-05-05T14:51:00Z</dcterms:modified>
</cp:coreProperties>
</file>