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0A371D" w:rsidRPr="00F66DB2" w:rsidRDefault="000A371D" w:rsidP="000A371D">
      <w:pPr>
        <w:spacing w:line="360" w:lineRule="auto"/>
        <w:ind w:left="540"/>
        <w:rPr>
          <w:rFonts w:ascii="Calibri" w:hAnsi="Calibri" w:cs="Trebuchet MS"/>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w:t>
      </w:r>
      <w:r w:rsidR="001566DE">
        <w:rPr>
          <w:rStyle w:val="BLOCKBOLD"/>
          <w:rFonts w:ascii="Calibri" w:hAnsi="Calibri"/>
          <w:u w:val="single"/>
        </w:rPr>
        <w:t>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B63594" w:rsidRPr="00B63594">
        <w:rPr>
          <w:rStyle w:val="BLOCKBOLD"/>
          <w:rFonts w:ascii="Calibri" w:hAnsi="Calibri"/>
        </w:rPr>
        <w:t>Procedura negoziata senza previa pubblicazione del bando su MEPA, (ex art. 63 D.Lgs. 50/2016, comma 6, ed ex art. 36, comma 6 d.lgs. 50/2016 ai sensi e per gli effetti della Lg 120/2020, art. 1, co. 2 lett. b) per l’affidamento dei Servizi di banche dati per il supporto nell’ambito delle attività di verifica previste alla normativa in materia di antiriciclaggio (D.Lgs.  231/07)</w:t>
      </w:r>
    </w:p>
    <w:p w:rsidR="000A371D" w:rsidRPr="00984F99" w:rsidRDefault="000A371D" w:rsidP="000A371D">
      <w:pPr>
        <w:spacing w:line="360" w:lineRule="auto"/>
        <w:rPr>
          <w:rFonts w:ascii="Calibri" w:hAnsi="Calibri" w:cs="Trebuchet MS"/>
          <w:szCs w:val="20"/>
        </w:rPr>
      </w:pPr>
    </w:p>
    <w:p w:rsidR="00D112F6" w:rsidRPr="00984F99"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domiciliato per la carica presso la sede societaria ove appresso, nella sua qualità di __________ e legale rappresentante </w:t>
      </w:r>
      <w:r w:rsidR="0039231A" w:rsidRPr="00984F99">
        <w:rPr>
          <w:rFonts w:ascii="Calibri" w:hAnsi="Calibri"/>
          <w:szCs w:val="20"/>
        </w:rPr>
        <w:t>avente i poteri necessari per impegnare la _________________ nella presente procedura,</w:t>
      </w:r>
      <w:r w:rsidRPr="00984F99">
        <w:rPr>
          <w:rFonts w:ascii="Calibri" w:hAnsi="Calibri" w:cs="Trebuchet MS"/>
          <w:szCs w:val="20"/>
        </w:rPr>
        <w:t xml:space="preserve"> con sede in ______________, Via ____________________, </w:t>
      </w:r>
      <w:r w:rsidR="00A17325" w:rsidRPr="00984F99">
        <w:rPr>
          <w:rFonts w:ascii="Calibri" w:hAnsi="Calibri" w:cs="Trebuchet MS"/>
          <w:szCs w:val="20"/>
        </w:rPr>
        <w:t xml:space="preserve">iscritta al Registro delle Imprese di ___ al n. ___, codice fiscale n. __________________ </w:t>
      </w:r>
      <w:r w:rsidR="008A7B37" w:rsidRPr="00984F99">
        <w:rPr>
          <w:rFonts w:ascii="Calibri" w:hAnsi="Calibri" w:cs="Trebuchet MS"/>
          <w:szCs w:val="20"/>
        </w:rPr>
        <w:t>CCNL applicato __________ Settore ___________</w:t>
      </w:r>
      <w:r w:rsidR="00EB12ED" w:rsidRPr="00984F99">
        <w:rPr>
          <w:rFonts w:ascii="Calibri" w:hAnsi="Calibri" w:cs="Trebuchet MS"/>
          <w:szCs w:val="20"/>
        </w:rPr>
        <w:t>,</w:t>
      </w:r>
      <w:r w:rsidR="00292052" w:rsidRPr="00984F99">
        <w:rPr>
          <w:rFonts w:ascii="Calibri" w:hAnsi="Calibri" w:cs="Trebuchet MS"/>
          <w:szCs w:val="20"/>
        </w:rPr>
        <w:t xml:space="preserve"> </w:t>
      </w:r>
      <w:r w:rsidR="00D112F6" w:rsidRPr="00984F99">
        <w:rPr>
          <w:rFonts w:ascii="Calibri" w:hAnsi="Calibri" w:cs="Trebuchet MS"/>
          <w:szCs w:val="20"/>
        </w:rPr>
        <w:t xml:space="preserve">che partecipa alla presente iniziativa nella seguente forma </w:t>
      </w:r>
      <w:r w:rsidR="009643E2" w:rsidRPr="00984F99">
        <w:rPr>
          <w:rFonts w:ascii="Calibri" w:hAnsi="Calibri" w:cs="Trebuchet MS"/>
          <w:szCs w:val="20"/>
        </w:rPr>
        <w:t>_________________</w:t>
      </w:r>
    </w:p>
    <w:p w:rsidR="00D112F6" w:rsidRPr="00984F99" w:rsidRDefault="00875950" w:rsidP="000A371D">
      <w:pPr>
        <w:rPr>
          <w:rFonts w:ascii="Calibri" w:hAnsi="Calibri" w:cs="Trebuchet MS"/>
          <w:b/>
          <w:szCs w:val="20"/>
        </w:rPr>
      </w:pPr>
      <w:r w:rsidRPr="00984F99">
        <w:rPr>
          <w:rFonts w:ascii="Calibri" w:hAnsi="Calibri" w:cs="Trebuchet MS"/>
          <w:b/>
          <w:szCs w:val="20"/>
        </w:rPr>
        <w:t>(</w:t>
      </w:r>
      <w:r w:rsidRPr="00984F99">
        <w:rPr>
          <w:rStyle w:val="BLOCKBOLD"/>
          <w:rFonts w:ascii="Calibri" w:hAnsi="Calibri"/>
          <w:b w:val="0"/>
          <w:i/>
          <w:caps w:val="0"/>
        </w:rPr>
        <w:t>indicare una delle forme di partecipazione di cui all’art. 45, comma 2, del codice</w:t>
      </w:r>
      <w:r w:rsidRPr="00984F99">
        <w:rPr>
          <w:rFonts w:ascii="Calibri" w:hAnsi="Calibri" w:cs="Trebuchet MS"/>
          <w:b/>
          <w:szCs w:val="20"/>
        </w:rPr>
        <w:t xml:space="preserve">) </w:t>
      </w:r>
    </w:p>
    <w:p w:rsidR="000A371D" w:rsidRPr="00984F99" w:rsidRDefault="000A371D" w:rsidP="000A371D">
      <w:pPr>
        <w:rPr>
          <w:rFonts w:ascii="Calibri" w:hAnsi="Calibri" w:cs="Trebuchet MS"/>
          <w:szCs w:val="20"/>
        </w:rPr>
      </w:pPr>
      <w:r w:rsidRPr="00984F99">
        <w:rPr>
          <w:rFonts w:ascii="Calibri" w:hAnsi="Calibri" w:cs="Trebuchet MS"/>
          <w:szCs w:val="20"/>
        </w:rPr>
        <w:t>di seguito denominat</w:t>
      </w:r>
      <w:r w:rsidR="00D112F6" w:rsidRPr="00984F99">
        <w:rPr>
          <w:rFonts w:ascii="Calibri" w:hAnsi="Calibri" w:cs="Trebuchet MS"/>
          <w:szCs w:val="20"/>
        </w:rPr>
        <w:t>o</w:t>
      </w:r>
      <w:r w:rsidRPr="00984F99">
        <w:rPr>
          <w:rFonts w:ascii="Calibri" w:hAnsi="Calibri" w:cs="Trebuchet MS"/>
          <w:szCs w:val="20"/>
        </w:rPr>
        <w:t xml:space="preserve"> “</w:t>
      </w:r>
      <w:r w:rsidR="00D112F6" w:rsidRPr="00984F99">
        <w:rPr>
          <w:rFonts w:ascii="Calibri" w:hAnsi="Calibri" w:cs="Trebuchet MS"/>
          <w:szCs w:val="20"/>
        </w:rPr>
        <w:t>operatore</w:t>
      </w:r>
      <w:r w:rsidRPr="00984F99">
        <w:rPr>
          <w:rFonts w:ascii="Calibri" w:hAnsi="Calibri" w:cs="Trebuchet MS"/>
          <w:szCs w:val="20"/>
        </w:rPr>
        <w:t>”</w:t>
      </w:r>
    </w:p>
    <w:p w:rsidR="000A371D" w:rsidRPr="00984F99" w:rsidRDefault="000A371D" w:rsidP="00C66834">
      <w:pPr>
        <w:rPr>
          <w:rFonts w:ascii="Calibri" w:hAnsi="Calibri" w:cs="Trebuchet MS"/>
          <w:szCs w:val="20"/>
        </w:rPr>
      </w:pPr>
      <w:r w:rsidRPr="00984F99">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984F99">
        <w:rPr>
          <w:rFonts w:ascii="Calibri" w:hAnsi="Calibri" w:cs="Trebuchet MS"/>
          <w:szCs w:val="20"/>
        </w:rPr>
        <w:t xml:space="preserve"> e/o </w:t>
      </w:r>
      <w:r w:rsidRPr="00984F99">
        <w:rPr>
          <w:rFonts w:ascii="Calibri" w:hAnsi="Calibri" w:cs="Trebuchet MS"/>
          <w:szCs w:val="20"/>
        </w:rPr>
        <w:t>in caso di esibizione di atti contenenti dati non più corrispondenti a verità;</w:t>
      </w:r>
    </w:p>
    <w:p w:rsidR="00771C0E" w:rsidRPr="00984F99" w:rsidRDefault="00771C0E" w:rsidP="0060120F">
      <w:pPr>
        <w:jc w:val="center"/>
        <w:rPr>
          <w:rStyle w:val="BLOCKBOLD"/>
          <w:rFonts w:ascii="Calibri" w:hAnsi="Calibri"/>
        </w:rPr>
      </w:pPr>
    </w:p>
    <w:p w:rsidR="000A371D" w:rsidRPr="00984F99" w:rsidRDefault="00C14796" w:rsidP="0060120F">
      <w:pPr>
        <w:jc w:val="center"/>
        <w:rPr>
          <w:rStyle w:val="BLOCKBOLD"/>
          <w:rFonts w:ascii="Calibri" w:hAnsi="Calibri"/>
        </w:rPr>
      </w:pPr>
      <w:r w:rsidRPr="00984F99">
        <w:rPr>
          <w:rStyle w:val="BLOCKBOLD"/>
          <w:rFonts w:ascii="Calibri" w:hAnsi="Calibri"/>
        </w:rPr>
        <w:t xml:space="preserve"> </w:t>
      </w:r>
      <w:r w:rsidR="000A371D" w:rsidRPr="00984F99">
        <w:rPr>
          <w:rStyle w:val="BLOCKBOLD"/>
          <w:rFonts w:ascii="Calibri" w:hAnsi="Calibri"/>
        </w:rPr>
        <w:t xml:space="preserve">DICHIARA </w:t>
      </w:r>
    </w:p>
    <w:p w:rsidR="00771C0E" w:rsidRPr="00984F99" w:rsidRDefault="00771C0E" w:rsidP="0060120F">
      <w:pPr>
        <w:jc w:val="center"/>
        <w:rPr>
          <w:rStyle w:val="BLOCKBOLD"/>
          <w:rFonts w:ascii="Calibri" w:hAnsi="Calibri"/>
        </w:rPr>
      </w:pPr>
    </w:p>
    <w:p w:rsidR="009E2EDA" w:rsidRPr="00A04B70" w:rsidRDefault="009E2EDA" w:rsidP="006B4442">
      <w:pPr>
        <w:pStyle w:val="Numeroelenco"/>
        <w:numPr>
          <w:ilvl w:val="0"/>
          <w:numId w:val="9"/>
        </w:numPr>
        <w:ind w:left="426"/>
        <w:rPr>
          <w:rFonts w:ascii="Calibri" w:hAnsi="Calibri" w:cs="Trebuchet MS"/>
          <w:i/>
          <w:lang w:eastAsia="en-US"/>
        </w:rPr>
      </w:pPr>
      <w:r w:rsidRPr="00A04B70">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A202C4" w:rsidRPr="00540BF5" w:rsidRDefault="00A202C4" w:rsidP="00540BF5">
      <w:pPr>
        <w:pStyle w:val="Numeroelenco"/>
        <w:numPr>
          <w:ilvl w:val="0"/>
          <w:numId w:val="9"/>
        </w:numPr>
        <w:ind w:left="426"/>
        <w:rPr>
          <w:rFonts w:ascii="Calibri" w:hAnsi="Calibri"/>
          <w:szCs w:val="20"/>
        </w:rPr>
      </w:pPr>
      <w:r w:rsidRPr="009C79FE">
        <w:rPr>
          <w:rFonts w:ascii="Calibri" w:hAnsi="Calibri"/>
          <w:szCs w:val="20"/>
        </w:rPr>
        <w:t xml:space="preserve">che </w:t>
      </w:r>
      <w:r w:rsidRPr="009C79FE">
        <w:rPr>
          <w:rFonts w:ascii="Calibri" w:hAnsi="Calibri" w:cs="Trebuchet MS"/>
          <w:i/>
          <w:color w:val="0000FF"/>
          <w:szCs w:val="20"/>
        </w:rPr>
        <w:t>sussistono/non sussistono</w:t>
      </w:r>
      <w:r w:rsidRPr="009C79FE">
        <w:rPr>
          <w:rFonts w:ascii="Calibri" w:hAnsi="Calibri"/>
          <w:szCs w:val="20"/>
        </w:rPr>
        <w:t xml:space="preserve"> </w:t>
      </w:r>
      <w:r w:rsidR="008552BC" w:rsidRPr="009C79FE">
        <w:rPr>
          <w:rFonts w:ascii="Calibri" w:hAnsi="Calibri" w:cs="Trebuchet MS"/>
          <w:i/>
          <w:szCs w:val="20"/>
        </w:rPr>
        <w:t>(</w:t>
      </w:r>
      <w:r w:rsidR="008552BC" w:rsidRPr="00B63594">
        <w:rPr>
          <w:rFonts w:ascii="Calibri" w:hAnsi="Calibri" w:cs="Trebuchet MS"/>
          <w:b/>
          <w:i/>
          <w:color w:val="0000FF"/>
          <w:szCs w:val="20"/>
          <w:u w:val="single"/>
        </w:rPr>
        <w:t>NB. indicare una sola delle due possibili scelte, eliminare l’altra</w:t>
      </w:r>
      <w:r w:rsidR="008552BC" w:rsidRPr="009C79FE">
        <w:rPr>
          <w:rFonts w:ascii="Calibri" w:hAnsi="Calibri" w:cs="Trebuchet MS"/>
          <w:i/>
          <w:lang w:eastAsia="en-US"/>
        </w:rPr>
        <w:t>)</w:t>
      </w:r>
      <w:r w:rsidR="008552BC" w:rsidRPr="00540BF5">
        <w:rPr>
          <w:rFonts w:ascii="Calibri" w:hAnsi="Calibri" w:cs="Trebuchet MS"/>
          <w:b/>
          <w:i/>
          <w:color w:val="0000FF"/>
          <w:lang w:eastAsia="en-US"/>
        </w:rPr>
        <w:t xml:space="preserve"> </w:t>
      </w:r>
      <w:r w:rsidRPr="00540BF5">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A202C4" w:rsidRPr="00900AA3" w:rsidRDefault="00A202C4" w:rsidP="00A202C4">
      <w:pPr>
        <w:pStyle w:val="Numeroelenco"/>
        <w:numPr>
          <w:ilvl w:val="0"/>
          <w:numId w:val="9"/>
        </w:numPr>
        <w:ind w:left="426"/>
        <w:rPr>
          <w:rFonts w:ascii="Calibri" w:hAnsi="Calibri"/>
          <w:szCs w:val="20"/>
        </w:rPr>
      </w:pPr>
      <w:r w:rsidRPr="008552BC">
        <w:rPr>
          <w:rFonts w:ascii="Calibri" w:hAnsi="Calibri"/>
          <w:szCs w:val="20"/>
        </w:rPr>
        <w:t>che si impegna a dichiarare la sussistenza di possibili conflitti di interesse rispetto ai commissari</w:t>
      </w:r>
      <w:r w:rsidRPr="00900AA3">
        <w:rPr>
          <w:rFonts w:ascii="Calibri" w:hAnsi="Calibri"/>
          <w:szCs w:val="20"/>
        </w:rPr>
        <w:t xml:space="preserve"> di gara e/o agli altri soggetti che intervengono nella procedura di gara successivamente alla </w:t>
      </w:r>
      <w:r w:rsidRPr="00900AA3">
        <w:rPr>
          <w:rFonts w:ascii="Calibri" w:hAnsi="Calibri"/>
          <w:szCs w:val="20"/>
        </w:rPr>
        <w:lastRenderedPageBreak/>
        <w:t>presentazione dell’offerta, fornend</w:t>
      </w:r>
      <w:r w:rsidR="00F6718C">
        <w:rPr>
          <w:rFonts w:ascii="Calibri" w:hAnsi="Calibri"/>
          <w:szCs w:val="20"/>
        </w:rPr>
        <w:t>o,</w:t>
      </w:r>
      <w:r w:rsidRPr="00900AA3">
        <w:rPr>
          <w:rFonts w:ascii="Calibri" w:hAnsi="Calibri"/>
          <w:szCs w:val="20"/>
        </w:rPr>
        <w:t xml:space="preserve"> gli elementi utili a consentire la valutazione della stazione appaltante</w:t>
      </w:r>
      <w:r w:rsidRPr="00900AA3">
        <w:rPr>
          <w:szCs w:val="20"/>
        </w:rPr>
        <w:t>.</w:t>
      </w:r>
    </w:p>
    <w:p w:rsidR="001F17C9" w:rsidRPr="001970A0" w:rsidRDefault="000D564C" w:rsidP="00A202C4">
      <w:pPr>
        <w:pStyle w:val="Numeroelenco"/>
        <w:numPr>
          <w:ilvl w:val="0"/>
          <w:numId w:val="9"/>
        </w:numPr>
        <w:ind w:left="426"/>
        <w:rPr>
          <w:rFonts w:ascii="Calibri" w:hAnsi="Calibri" w:cs="Trebuchet MS"/>
          <w:b/>
          <w:i/>
          <w:color w:val="0000FF"/>
          <w:lang w:eastAsia="en-US"/>
        </w:rPr>
      </w:pPr>
      <w:r w:rsidRPr="00984F99">
        <w:rPr>
          <w:rFonts w:ascii="Calibri" w:hAnsi="Calibri"/>
        </w:rPr>
        <w:t>che accetta, ai sensi dell’art. 100, comma 2 del Codice, i requisiti particolari per l’esecuzione del contratto nell’ipotesi in cui risulti aggiudicatario</w:t>
      </w:r>
      <w:r w:rsidR="00701CEC" w:rsidRPr="00984F99">
        <w:rPr>
          <w:rFonts w:ascii="Calibri" w:hAnsi="Calibri"/>
        </w:rPr>
        <w:t xml:space="preserve"> </w:t>
      </w:r>
    </w:p>
    <w:p w:rsidR="00F42A9E" w:rsidRPr="009C79FE" w:rsidRDefault="00C41C6D" w:rsidP="00C41C6D">
      <w:pPr>
        <w:pStyle w:val="Numeroelenco"/>
        <w:numPr>
          <w:ilvl w:val="0"/>
          <w:numId w:val="9"/>
        </w:numPr>
        <w:spacing w:before="100" w:beforeAutospacing="1" w:after="100" w:afterAutospacing="1"/>
        <w:ind w:left="426"/>
        <w:rPr>
          <w:rFonts w:ascii="Calibri" w:hAnsi="Calibri" w:cs="Trebuchet MS"/>
          <w:lang w:eastAsia="en-US"/>
        </w:rPr>
      </w:pPr>
      <w:r w:rsidRPr="009C79FE">
        <w:rPr>
          <w:rFonts w:ascii="Calibri" w:hAnsi="Calibri" w:cs="Trebuchet MS"/>
          <w:szCs w:val="20"/>
        </w:rPr>
        <w:t xml:space="preserve">che al momento della presentazione dell’offerta </w:t>
      </w:r>
      <w:r w:rsidRPr="009C79FE">
        <w:rPr>
          <w:rFonts w:ascii="Calibri" w:hAnsi="Calibri" w:cs="Trebuchet MS"/>
          <w:i/>
          <w:color w:val="0000FF"/>
          <w:szCs w:val="20"/>
        </w:rPr>
        <w:t>ha/non ha</w:t>
      </w:r>
      <w:r w:rsidRPr="009C79FE">
        <w:rPr>
          <w:rFonts w:ascii="Calibri" w:hAnsi="Calibri"/>
          <w:szCs w:val="20"/>
        </w:rPr>
        <w:t xml:space="preserve"> </w:t>
      </w:r>
      <w:r w:rsidRPr="009C79FE">
        <w:rPr>
          <w:rFonts w:ascii="Calibri" w:hAnsi="Calibri" w:cs="Trebuchet MS"/>
          <w:i/>
          <w:szCs w:val="20"/>
        </w:rPr>
        <w:t>(</w:t>
      </w:r>
      <w:r w:rsidRPr="00B63594">
        <w:rPr>
          <w:rFonts w:ascii="Calibri" w:hAnsi="Calibri" w:cs="Trebuchet MS"/>
          <w:b/>
          <w:i/>
          <w:color w:val="0000FF"/>
          <w:szCs w:val="20"/>
          <w:u w:val="single"/>
        </w:rPr>
        <w:t>NB. indicare una sola delle due possibili scelte, eliminare l’altra</w:t>
      </w:r>
      <w:r w:rsidRPr="009C79FE">
        <w:rPr>
          <w:rFonts w:ascii="Calibri" w:hAnsi="Calibri" w:cs="Trebuchet MS"/>
          <w:i/>
          <w:lang w:eastAsia="en-US"/>
        </w:rPr>
        <w:t>)</w:t>
      </w:r>
      <w:r w:rsidRPr="009C79FE">
        <w:rPr>
          <w:rFonts w:ascii="Calibri" w:hAnsi="Calibri" w:cs="Trebuchet MS"/>
          <w:lang w:eastAsia="en-US"/>
        </w:rPr>
        <w:t xml:space="preserve"> in essere contratti continuativi di cooperazione,</w:t>
      </w:r>
      <w:r w:rsidRPr="009C79FE">
        <w:rPr>
          <w:rFonts w:ascii="Calibri" w:hAnsi="Calibri" w:cs="Calibri"/>
          <w:szCs w:val="20"/>
        </w:rPr>
        <w:t xml:space="preserve"> servizio e/o fornitura, di cui all’art.105 comma 3 c bis) del Codice con soggetti terzi </w:t>
      </w:r>
      <w:r w:rsidRPr="009C79FE">
        <w:rPr>
          <w:rFonts w:ascii="Calibri" w:hAnsi="Calibri" w:cs="Trebuchet MS"/>
          <w:i/>
          <w:szCs w:val="20"/>
        </w:rPr>
        <w:t xml:space="preserve">(NB. In caso affermativo </w:t>
      </w:r>
      <w:r w:rsidRPr="009C79FE">
        <w:rPr>
          <w:rFonts w:ascii="Calibri" w:hAnsi="Calibri" w:cs="Trebuchet MS"/>
          <w:i/>
          <w:lang w:eastAsia="en-US"/>
        </w:rPr>
        <w:t>dare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Pr="009C79FE">
        <w:rPr>
          <w:rFonts w:ascii="Calibri" w:hAnsi="Calibri" w:cs="Trebuchet MS"/>
          <w:lang w:eastAsia="en-US"/>
        </w:rPr>
        <w:t>;</w:t>
      </w:r>
    </w:p>
    <w:p w:rsidR="00A06A7F" w:rsidRPr="00DA6DAE" w:rsidRDefault="00A06A7F" w:rsidP="00A06A7F">
      <w:pPr>
        <w:pStyle w:val="Numeroelenco"/>
        <w:numPr>
          <w:ilvl w:val="0"/>
          <w:numId w:val="9"/>
        </w:numPr>
        <w:ind w:left="426"/>
        <w:rPr>
          <w:rFonts w:ascii="Calibri" w:hAnsi="Calibri"/>
          <w:szCs w:val="20"/>
        </w:rPr>
      </w:pPr>
      <w:bookmarkStart w:id="0" w:name="_GoBack"/>
      <w:bookmarkEnd w:id="0"/>
      <w:r w:rsidRPr="00DA6DAE">
        <w:rPr>
          <w:rFonts w:ascii="Calibri" w:hAnsi="Calibri"/>
          <w:szCs w:val="20"/>
        </w:rPr>
        <w:t>L’Operatore economico dichiara di essere in possesso dei requisiti di partecipazione indicati al par. 1.1 delle Condizioni particolari di Rdo e all’interno del Capitolato tecnico.</w:t>
      </w:r>
    </w:p>
    <w:p w:rsidR="001A7761" w:rsidRPr="00714B9C" w:rsidRDefault="001A7761" w:rsidP="002B24C2">
      <w:pPr>
        <w:pStyle w:val="Numeroelenco"/>
        <w:numPr>
          <w:ilvl w:val="0"/>
          <w:numId w:val="9"/>
        </w:numPr>
        <w:spacing w:before="100" w:beforeAutospacing="1" w:after="100" w:afterAutospacing="1"/>
        <w:ind w:left="426"/>
        <w:rPr>
          <w:rFonts w:ascii="Calibri" w:eastAsia="Calibri" w:hAnsi="Calibri" w:cs="Calibri"/>
          <w:kern w:val="0"/>
          <w:szCs w:val="20"/>
        </w:rPr>
      </w:pPr>
      <w:r w:rsidRPr="00714B9C">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1A7761" w:rsidRPr="00714B9C" w:rsidRDefault="001A7761" w:rsidP="00A202C4">
      <w:pPr>
        <w:widowControl/>
        <w:autoSpaceDE/>
        <w:autoSpaceDN/>
        <w:adjustRightInd/>
        <w:spacing w:before="100" w:beforeAutospacing="1" w:after="100" w:afterAutospacing="1"/>
        <w:ind w:left="426" w:firstLine="657"/>
        <w:rPr>
          <w:rFonts w:ascii="Calibri" w:eastAsia="Calibri" w:hAnsi="Calibri" w:cs="Calibri"/>
          <w:kern w:val="0"/>
          <w:szCs w:val="20"/>
        </w:rPr>
      </w:pPr>
      <w:r w:rsidRPr="00714B9C">
        <w:rPr>
          <w:rFonts w:ascii="Calibri" w:eastAsia="Calibri" w:hAnsi="Calibri" w:cs="Calibri"/>
          <w:b/>
          <w:bCs/>
          <w:kern w:val="0"/>
          <w:szCs w:val="20"/>
        </w:rPr>
        <w:t>oppure</w:t>
      </w:r>
      <w:r w:rsidR="003D02D9">
        <w:rPr>
          <w:rFonts w:ascii="Calibri" w:eastAsia="Calibri" w:hAnsi="Calibri" w:cs="Calibri"/>
          <w:b/>
          <w:bCs/>
          <w:kern w:val="0"/>
          <w:szCs w:val="20"/>
        </w:rPr>
        <w:t xml:space="preserve"> </w:t>
      </w:r>
      <w:r w:rsidR="003D02D9" w:rsidRPr="003D02D9">
        <w:rPr>
          <w:rFonts w:ascii="Calibri" w:eastAsia="Calibri" w:hAnsi="Calibri" w:cs="Calibri"/>
          <w:bCs/>
          <w:i/>
          <w:kern w:val="0"/>
          <w:szCs w:val="20"/>
        </w:rPr>
        <w:t>(</w:t>
      </w:r>
      <w:r w:rsidR="003D02D9" w:rsidRPr="00B63594">
        <w:rPr>
          <w:rFonts w:ascii="Calibri" w:hAnsi="Calibri" w:cs="Trebuchet MS"/>
          <w:b/>
          <w:i/>
          <w:color w:val="0000FF"/>
          <w:szCs w:val="20"/>
          <w:u w:val="single"/>
        </w:rPr>
        <w:t>NB. indicare una sola delle due possibili scelte, eliminare l’altra</w:t>
      </w:r>
      <w:r w:rsidR="003D02D9" w:rsidRPr="003D02D9">
        <w:rPr>
          <w:rFonts w:ascii="Calibri" w:eastAsia="Calibri" w:hAnsi="Calibri" w:cs="Calibri"/>
          <w:bCs/>
          <w:i/>
          <w:kern w:val="0"/>
          <w:szCs w:val="20"/>
        </w:rPr>
        <w:t>)</w:t>
      </w:r>
    </w:p>
    <w:p w:rsidR="001A7761" w:rsidRPr="00984F99" w:rsidRDefault="001A7761" w:rsidP="00A202C4">
      <w:pPr>
        <w:pStyle w:val="Numeroelenco"/>
        <w:numPr>
          <w:ilvl w:val="0"/>
          <w:numId w:val="0"/>
        </w:numPr>
        <w:spacing w:before="100" w:beforeAutospacing="1" w:after="100" w:afterAutospacing="1"/>
        <w:ind w:left="426"/>
        <w:rPr>
          <w:rFonts w:ascii="Calibri" w:hAnsi="Calibri"/>
          <w:szCs w:val="20"/>
        </w:rPr>
      </w:pPr>
      <w:r w:rsidRPr="00714B9C">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3D02D9">
        <w:rPr>
          <w:rFonts w:ascii="Calibri" w:eastAsia="Calibri" w:hAnsi="Calibri" w:cs="Calibri"/>
          <w:kern w:val="0"/>
          <w:szCs w:val="20"/>
        </w:rPr>
        <w:t xml:space="preserve"> </w:t>
      </w:r>
      <w:r w:rsidRPr="00714B9C">
        <w:rPr>
          <w:rFonts w:ascii="Calibri" w:eastAsia="Calibri" w:hAnsi="Calibri" w:cs="Calibri"/>
          <w:kern w:val="0"/>
          <w:szCs w:val="20"/>
        </w:rPr>
        <w:t>___________________________________</w:t>
      </w:r>
      <w:r w:rsidR="002B24C2">
        <w:rPr>
          <w:rFonts w:ascii="Calibri" w:eastAsia="Calibri" w:hAnsi="Calibri" w:cs="Calibri"/>
          <w:kern w:val="0"/>
          <w:szCs w:val="20"/>
        </w:rPr>
        <w:t xml:space="preserve">    </w:t>
      </w:r>
      <w:r w:rsidR="002B24C2" w:rsidRPr="00714B9C">
        <w:rPr>
          <w:rFonts w:ascii="Calibri" w:hAnsi="Calibri" w:cs="Trebuchet MS"/>
          <w:b/>
          <w:i/>
          <w:color w:val="0000FF"/>
          <w:szCs w:val="20"/>
          <w:lang w:eastAsia="en-US"/>
        </w:rPr>
        <w:t>]</w:t>
      </w:r>
    </w:p>
    <w:p w:rsidR="008D2330" w:rsidRPr="00984F99" w:rsidRDefault="008D2330" w:rsidP="00771C0E">
      <w:pPr>
        <w:pStyle w:val="Numeroelenco"/>
        <w:numPr>
          <w:ilvl w:val="0"/>
          <w:numId w:val="0"/>
        </w:numPr>
        <w:rPr>
          <w:rFonts w:ascii="Calibri" w:hAnsi="Calibri"/>
          <w:szCs w:val="20"/>
        </w:rPr>
      </w:pPr>
    </w:p>
    <w:p w:rsidR="008D2330" w:rsidRPr="00984F99" w:rsidRDefault="008D2330" w:rsidP="008D2330">
      <w:pPr>
        <w:pStyle w:val="Numeroelenco"/>
        <w:numPr>
          <w:ilvl w:val="0"/>
          <w:numId w:val="0"/>
        </w:numPr>
        <w:ind w:left="360"/>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8D2330">
      <w:pPr>
        <w:pStyle w:val="Numeroelenco"/>
        <w:numPr>
          <w:ilvl w:val="0"/>
          <w:numId w:val="0"/>
        </w:numPr>
        <w:ind w:left="360"/>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 xml:space="preserve">Si impegna, inoltre, ad adempiere agli obblighi di informativa e di consenso, ove necessario, nei confronti delle persone fisiche (Interessati) di cui sono forniti dati personali </w:t>
      </w:r>
      <w:r w:rsidR="007C7776" w:rsidRPr="00984F99">
        <w:rPr>
          <w:rFonts w:ascii="Calibri" w:hAnsi="Calibri"/>
          <w:szCs w:val="20"/>
          <w:lang w:eastAsia="ar-SA"/>
        </w:rPr>
        <w:lastRenderedPageBreak/>
        <w:t>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59C" w:rsidRDefault="0006459C" w:rsidP="00816101">
      <w:r>
        <w:separator/>
      </w:r>
    </w:p>
  </w:endnote>
  <w:endnote w:type="continuationSeparator" w:id="0">
    <w:p w:rsidR="0006459C" w:rsidRDefault="0006459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ymbol"/>
    <w:panose1 w:val="00000000000000000000"/>
    <w:charset w:val="80"/>
    <w:family w:val="auto"/>
    <w:notTrueType/>
    <w:pitch w:val="default"/>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Consip </w:t>
    </w:r>
    <w:r w:rsidR="00B63594">
      <w:t xml:space="preserve">Public </w:t>
    </w:r>
  </w:p>
  <w:p w:rsidR="00B63594" w:rsidRDefault="001F17C9" w:rsidP="00771C0E">
    <w:pPr>
      <w:pStyle w:val="Pidipagina"/>
      <w:spacing w:line="240" w:lineRule="auto"/>
    </w:pPr>
    <w:r>
      <w:t xml:space="preserve"> </w:t>
    </w:r>
    <w:r w:rsidR="00B63594" w:rsidRPr="00B63594">
      <w:t>Procedura negoziata senza previa pubblicazione del bando su MEPA, (ex art. 63 D.Lgs. 50/2016, comma 6, ed ex art. 36, comma 6 d.lgs. 50/2016 ai sensi e per gli effetti della Lg 120/2020, art. 1, co. 2 lett. b) per l’affidamento dei Servizi di banche dati per il supporto nell’ambito delle attività di verifica previste alla normativa in materia di antiriciclaggio (D.Lgs.  231/07)</w:t>
    </w:r>
  </w:p>
  <w:p w:rsidR="00450DAF" w:rsidRPr="00AF2095" w:rsidRDefault="00DA6DAE" w:rsidP="00771C0E">
    <w:pPr>
      <w:pStyle w:val="Pidipagina"/>
      <w:spacing w:line="240" w:lineRule="auto"/>
    </w:pPr>
    <w:r>
      <w:rPr>
        <w:noProof/>
      </w:rPr>
      <w:pict>
        <v:shapetype id="_x0000_t202" coordsize="21600,21600" o:spt="202" path="m,l,21600r21600,l21600,xe">
          <v:stroke joinstyle="miter"/>
          <v:path gradientshapeok="t" o:connecttype="rect"/>
        </v:shapetype>
        <v:shape id="_x0000_s2063" type="#_x0000_t202" style="position:absolute;left:0;text-align:left;margin-left:413.75pt;margin-top:3.8pt;width:54pt;height:28.35pt;z-index:251659264;mso-position-horizontal-relative:text;mso-position-vertical-relative:text"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A6DAE">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A6DAE">
                  <w:rPr>
                    <w:rStyle w:val="Numeropagina"/>
                    <w:noProof/>
                  </w:rPr>
                  <w:t>4</w:t>
                </w:r>
                <w:r w:rsidRPr="000D2520">
                  <w:rPr>
                    <w:rStyle w:val="Numeropagina"/>
                  </w:rPr>
                  <w:fldChar w:fldCharType="end"/>
                </w:r>
              </w:p>
            </w:txbxContent>
          </v:textbox>
        </v:shape>
      </w:pic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Consip </w:t>
    </w:r>
    <w:r w:rsidR="00B63594">
      <w:t xml:space="preserve">Public </w:t>
    </w:r>
  </w:p>
  <w:p w:rsidR="00B63594" w:rsidRDefault="00B63594" w:rsidP="00771C0E">
    <w:pPr>
      <w:pStyle w:val="Pidipagina"/>
      <w:spacing w:line="240" w:lineRule="auto"/>
    </w:pPr>
    <w:r w:rsidRPr="00B63594">
      <w:t>Procedura negoziata senza previa pubblicazione del bando su MEPA, (ex art. 63 D.Lgs. 50/2016, comma 6, ed ex art. 36, comma 6 d.lgs. 50/2016 ai sensi e per gli effetti della Lg 120/2020, art. 1, co. 2 lett. b)</w:t>
    </w:r>
    <w:r>
      <w:t xml:space="preserve"> per l’affidamento dei </w:t>
    </w:r>
    <w:r w:rsidRPr="00B63594">
      <w:t>Servizi di banche dati per il supporto nell’ambito delle attività di verifica previste alla normativa in materia di antiriciclaggio (D.Lgs.  231/07)</w:t>
    </w:r>
  </w:p>
  <w:p w:rsidR="00AF2095" w:rsidRDefault="00771C0E" w:rsidP="00B63594">
    <w:pPr>
      <w:pStyle w:val="Pidipagina"/>
      <w:spacing w:line="240" w:lineRule="auto"/>
    </w:pPr>
    <w:r>
      <w:t xml:space="preserve">Dichiarazione integrativa </w:t>
    </w:r>
    <w:r w:rsidR="00DA6DAE">
      <w:rPr>
        <w:noProof/>
      </w:rPr>
      <w:pict>
        <v:shapetype id="_x0000_t202" coordsize="21600,21600" o:spt="202" path="m,l,21600r21600,l21600,xe">
          <v:stroke joinstyle="miter"/>
          <v:path gradientshapeok="t" o:connecttype="rect"/>
        </v:shapetype>
        <v:shape id="_x0000_s2062" type="#_x0000_t202" style="position:absolute;left:0;text-align:left;margin-left:412.5pt;margin-top:3.85pt;width:54pt;height:28.35pt;z-index:251658240;mso-position-horizontal-relative:text;mso-position-vertical-relative:text"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A6DA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A6DAE">
                  <w:rPr>
                    <w:rStyle w:val="Numeropagina"/>
                    <w:noProof/>
                  </w:rPr>
                  <w:t>4</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59C" w:rsidRDefault="0006459C" w:rsidP="00816101">
      <w:r>
        <w:separator/>
      </w:r>
    </w:p>
  </w:footnote>
  <w:footnote w:type="continuationSeparator" w:id="0">
    <w:p w:rsidR="0006459C" w:rsidRDefault="0006459C"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A6DAE"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251659264" wrapcoords="-174 0 -174 21411 21600 21411 21600 0 -174 0">
          <v:imagedata r:id="rId1" o:title="Consip marchio blu1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A6DAE"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51660288"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50C63F1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B631095"/>
    <w:multiLevelType w:val="hybridMultilevel"/>
    <w:tmpl w:val="BFC8DFDC"/>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F1C4C4E"/>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E692FD5C"/>
    <w:lvl w:ilvl="0" w:tplc="53F6914C">
      <w:start w:val="1"/>
      <w:numFmt w:val="decimal"/>
      <w:lvlText w:val="%1."/>
      <w:lvlJc w:val="left"/>
      <w:pPr>
        <w:ind w:left="1636" w:hanging="360"/>
      </w:pPr>
      <w:rPr>
        <w:b w:val="0"/>
        <w:i w:val="0"/>
        <w:color w:val="auto"/>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10"/>
  </w:num>
  <w:num w:numId="11">
    <w:abstractNumId w:val="15"/>
  </w:num>
  <w:num w:numId="12">
    <w:abstractNumId w:val="6"/>
  </w:num>
  <w:num w:numId="13">
    <w:abstractNumId w:val="12"/>
  </w:num>
  <w:num w:numId="14">
    <w:abstractNumId w:val="3"/>
  </w:num>
  <w:num w:numId="15">
    <w:abstractNumId w:val="11"/>
  </w:num>
  <w:num w:numId="16">
    <w:abstractNumId w:val="9"/>
  </w:num>
  <w:num w:numId="17">
    <w:abstractNumId w:val="8"/>
  </w:num>
  <w:num w:numId="1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3A1C"/>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59C"/>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4541"/>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4AC"/>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43D"/>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24C2"/>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5850"/>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2D9"/>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82A"/>
    <w:rsid w:val="004B6EF1"/>
    <w:rsid w:val="004C206C"/>
    <w:rsid w:val="004C2FC5"/>
    <w:rsid w:val="004C316A"/>
    <w:rsid w:val="004C3CD9"/>
    <w:rsid w:val="004C493B"/>
    <w:rsid w:val="004C4B12"/>
    <w:rsid w:val="004C5D10"/>
    <w:rsid w:val="004C7D30"/>
    <w:rsid w:val="004D0074"/>
    <w:rsid w:val="004D04BF"/>
    <w:rsid w:val="004D1CB3"/>
    <w:rsid w:val="004D2CE4"/>
    <w:rsid w:val="004D4CD4"/>
    <w:rsid w:val="004D5226"/>
    <w:rsid w:val="004D5387"/>
    <w:rsid w:val="004D6A4C"/>
    <w:rsid w:val="004D742C"/>
    <w:rsid w:val="004E14C1"/>
    <w:rsid w:val="004E1E5C"/>
    <w:rsid w:val="004E40C5"/>
    <w:rsid w:val="004E4DF4"/>
    <w:rsid w:val="004E55C2"/>
    <w:rsid w:val="004E5F9C"/>
    <w:rsid w:val="004E71FD"/>
    <w:rsid w:val="004F2A59"/>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0BF5"/>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4442"/>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F063F"/>
    <w:rsid w:val="006F1A71"/>
    <w:rsid w:val="006F2973"/>
    <w:rsid w:val="006F31FB"/>
    <w:rsid w:val="006F4636"/>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5A22"/>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84"/>
    <w:rsid w:val="00840CFB"/>
    <w:rsid w:val="00841616"/>
    <w:rsid w:val="00841CBC"/>
    <w:rsid w:val="00843634"/>
    <w:rsid w:val="008473D2"/>
    <w:rsid w:val="00847BB8"/>
    <w:rsid w:val="0085122A"/>
    <w:rsid w:val="00852157"/>
    <w:rsid w:val="00852301"/>
    <w:rsid w:val="0085309A"/>
    <w:rsid w:val="00854DE2"/>
    <w:rsid w:val="0085524C"/>
    <w:rsid w:val="008552B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C79FE"/>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4B70"/>
    <w:rsid w:val="00A054D4"/>
    <w:rsid w:val="00A06A7F"/>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4E84"/>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49D"/>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6C7"/>
    <w:rsid w:val="00B55E2A"/>
    <w:rsid w:val="00B56011"/>
    <w:rsid w:val="00B56F02"/>
    <w:rsid w:val="00B63031"/>
    <w:rsid w:val="00B63594"/>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1C6D"/>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6C4B"/>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6DAE"/>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893"/>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2A9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6718C"/>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1"/>
    </o:shapelayout>
  </w:shapeDefaults>
  <w:decimalSymbol w:val=","/>
  <w:listSeparator w:val=";"/>
  <w14:docId w14:val="647290FE"/>
  <w15:chartTrackingRefBased/>
  <w15:docId w15:val="{B2D195C3-AC6F-480E-9F63-74D0F1A7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64BFE-569C-43F7-842F-CA4CB2B9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886</Words>
  <Characters>5052</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Intini Stefano</cp:lastModifiedBy>
  <cp:revision>6</cp:revision>
  <cp:lastPrinted>2018-01-17T13:34:00Z</cp:lastPrinted>
  <dcterms:created xsi:type="dcterms:W3CDTF">2022-06-28T16:25:00Z</dcterms:created>
  <dcterms:modified xsi:type="dcterms:W3CDTF">2022-11-10T13:58:00Z</dcterms:modified>
</cp:coreProperties>
</file>