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06B31746"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040A80" w:rsidRPr="00040A80">
        <w:rPr>
          <w:rFonts w:asciiTheme="majorHAnsi" w:hAnsiTheme="majorHAnsi"/>
          <w:b/>
          <w:caps/>
          <w:szCs w:val="20"/>
        </w:rPr>
        <w:t xml:space="preserve">per </w:t>
      </w:r>
      <w:r w:rsidR="003A73D7" w:rsidRPr="003A73D7">
        <w:rPr>
          <w:rFonts w:asciiTheme="majorHAnsi" w:hAnsiTheme="majorHAnsi"/>
          <w:b/>
          <w:caps/>
          <w:szCs w:val="20"/>
        </w:rPr>
        <w:t>Servizio di manutenzione software prodotto $AVRS</w:t>
      </w:r>
      <w:r w:rsidR="003A73D7">
        <w:rPr>
          <w:rFonts w:asciiTheme="majorHAnsi" w:hAnsiTheme="majorHAnsi"/>
          <w:b/>
          <w:caps/>
          <w:szCs w:val="20"/>
        </w:rPr>
        <w:t xml:space="preserve"> anni 2024-25-26</w:t>
      </w:r>
      <w:bookmarkStart w:id="0" w:name="_GoBack"/>
      <w:bookmarkEnd w:id="0"/>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94 commi 3 e 4 del d.</w:t>
      </w:r>
      <w:r w:rsidR="00584D3D" w:rsidRPr="004A720D">
        <w:rPr>
          <w:b/>
        </w:rPr>
        <w:t>l</w:t>
      </w:r>
      <w:r w:rsidRPr="004A720D">
        <w:rPr>
          <w:b/>
        </w:rPr>
        <w:t>g</w:t>
      </w:r>
      <w:r w:rsidR="00584D3D" w:rsidRPr="004A720D">
        <w:rPr>
          <w:b/>
        </w:rPr>
        <w:t>s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(pantouflage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di essere in possesso dei requisiti di idoneità tecnico professionale di cui all’art. 26, comma 1, lett. a), del D. Lgs. 81/08 e s.m.i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6B9698FC"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 xml:space="preserve">Affidamento diretto ai sensi dell’art. 50 comma 1 lett. b), D.lgs. n. 36/2023, finalizzato alla stipula di un contratto per </w:t>
    </w:r>
    <w:r w:rsidR="003A73D7">
      <w:rPr>
        <w:rFonts w:asciiTheme="majorHAnsi" w:hAnsiTheme="majorHAnsi"/>
        <w:color w:val="808080"/>
        <w:sz w:val="16"/>
        <w:szCs w:val="14"/>
      </w:rPr>
      <w:t>“</w:t>
    </w:r>
    <w:r w:rsidR="003A73D7" w:rsidRPr="003A73D7">
      <w:rPr>
        <w:rFonts w:asciiTheme="majorHAnsi" w:hAnsiTheme="majorHAnsi"/>
        <w:color w:val="808080"/>
        <w:sz w:val="16"/>
        <w:szCs w:val="14"/>
      </w:rPr>
      <w:t>Servizio di manutenzione software prodotto $AVRS</w:t>
    </w:r>
    <w:r w:rsidR="003A73D7">
      <w:rPr>
        <w:rFonts w:asciiTheme="majorHAnsi" w:hAnsiTheme="majorHAnsi"/>
        <w:color w:val="808080"/>
        <w:sz w:val="16"/>
        <w:szCs w:val="14"/>
      </w:rPr>
      <w:t xml:space="preserve"> anni 2024-25-26”</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746CE2EE"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A73D7">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14EF017B"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3A73D7">
      <w:rPr>
        <w:rFonts w:asciiTheme="majorHAnsi" w:hAnsiTheme="majorHAnsi"/>
        <w:color w:val="808080"/>
        <w:sz w:val="16"/>
        <w:szCs w:val="14"/>
      </w:rPr>
      <w:t>“</w:t>
    </w:r>
    <w:r w:rsidR="003A73D7" w:rsidRPr="003A73D7">
      <w:rPr>
        <w:rFonts w:asciiTheme="majorHAnsi" w:hAnsiTheme="majorHAnsi"/>
        <w:color w:val="808080"/>
        <w:sz w:val="16"/>
        <w:szCs w:val="14"/>
      </w:rPr>
      <w:t>Servizio di manutenzione software prodotto $AVRS</w:t>
    </w:r>
    <w:r w:rsidR="003A73D7">
      <w:rPr>
        <w:rFonts w:asciiTheme="majorHAnsi" w:hAnsiTheme="majorHAnsi"/>
        <w:color w:val="808080"/>
        <w:sz w:val="16"/>
        <w:szCs w:val="14"/>
      </w:rPr>
      <w:t xml:space="preserve"> anni 2024-25-26”</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A73D7"/>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4342-5FC8-499C-BC02-70B328C48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3687</Words>
  <Characters>22380</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26015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2023-12-06T15:20:00Z</dcterms:modified>
</cp:coreProperties>
</file>