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  <w:bookmarkStart w:id="0" w:name="_GoBack"/>
      <w:bookmarkEnd w:id="0"/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:rsidR="00B858DC" w:rsidRPr="008565A7" w:rsidRDefault="00B858DC" w:rsidP="00B858DC">
      <w:pPr>
        <w:rPr>
          <w:rStyle w:val="BLOCKBOLD"/>
          <w:rFonts w:asciiTheme="minorHAnsi" w:hAnsiTheme="minorHAnsi" w:cstheme="minorHAnsi"/>
          <w:color w:val="0000FF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>PER</w:t>
      </w:r>
      <w:r w:rsidR="00102D20">
        <w:rPr>
          <w:rStyle w:val="BLOCKBOLD"/>
          <w:rFonts w:asciiTheme="minorHAnsi" w:hAnsiTheme="minorHAnsi" w:cstheme="minorHAnsi"/>
        </w:rPr>
        <w:t xml:space="preserve"> LA GARA PER IL </w:t>
      </w:r>
      <w:r w:rsidR="00102D20" w:rsidRPr="00102D20">
        <w:rPr>
          <w:rStyle w:val="BLOCKBOLD"/>
          <w:rFonts w:asciiTheme="minorHAnsi" w:hAnsiTheme="minorHAnsi" w:cstheme="minorHAnsi"/>
        </w:rPr>
        <w:t>Sistema Videowall per la nuova Control Room del SECUTITY NETWORK &amp; OPEARATION CENTER di Sogei.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:rsidR="00DF4807" w:rsidRPr="00F0226A" w:rsidRDefault="00DF4807" w:rsidP="00B858DC">
      <w:pPr>
        <w:rPr>
          <w:rFonts w:asciiTheme="minorHAnsi" w:hAnsiTheme="minorHAnsi" w:cstheme="minorHAnsi"/>
        </w:rPr>
      </w:pPr>
    </w:p>
    <w:p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 xml:space="preserve">Classificazione del documento: Consip </w:t>
    </w:r>
    <w:r w:rsidR="00BB1A98">
      <w:rPr>
        <w:rFonts w:asciiTheme="minorHAnsi" w:hAnsiTheme="minorHAnsi" w:cstheme="minorHAnsi"/>
        <w:noProof/>
        <w:sz w:val="16"/>
        <w:szCs w:val="16"/>
      </w:rPr>
      <w:t xml:space="preserve">Public </w:t>
    </w:r>
  </w:p>
  <w:p w:rsidR="002169ED" w:rsidRPr="00EB56C7" w:rsidRDefault="00347E9C" w:rsidP="00F0226A">
    <w:pPr>
      <w:pStyle w:val="Pidipagina"/>
      <w:rPr>
        <w:rStyle w:val="Numeropagina"/>
        <w:rFonts w:asciiTheme="minorHAnsi" w:hAnsiTheme="minorHAnsi" w:cstheme="minorHAnsi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3AA8E" wp14:editId="52B2E0F4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B1A98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B1A9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BB1A98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BB1A9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B1A98" w:rsidRPr="00BB1A98">
      <w:rPr>
        <w:rFonts w:asciiTheme="minorHAnsi" w:hAnsiTheme="minorHAnsi" w:cstheme="minorHAnsi"/>
        <w:noProof/>
        <w:sz w:val="16"/>
        <w:szCs w:val="16"/>
      </w:rPr>
      <w:t>D. Lgs. n. 36/2023 - Procedura negoziata ai sensi dell’art. 50, comma 1 lettera e)</w:t>
    </w:r>
    <w:r w:rsidR="00BB1A98">
      <w:rPr>
        <w:rFonts w:asciiTheme="minorHAnsi" w:hAnsiTheme="minorHAnsi" w:cstheme="minorHAnsi"/>
        <w:noProof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noProof/>
        <w:sz w:val="16"/>
        <w:szCs w:val="16"/>
      </w:rPr>
      <w:t xml:space="preserve">per  </w:t>
    </w:r>
    <w:r w:rsidR="00BB1A98" w:rsidRPr="00BB1A98">
      <w:rPr>
        <w:rFonts w:asciiTheme="minorHAnsi" w:hAnsiTheme="minorHAnsi" w:cstheme="minorHAnsi"/>
        <w:noProof/>
        <w:sz w:val="16"/>
        <w:szCs w:val="16"/>
      </w:rPr>
      <w:t>Sistema Videowall per la nuova Control Room del SECUTITY NETWORK &amp; OPEARATION CENTER di Sogei.</w:t>
    </w:r>
  </w:p>
  <w:p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D"/>
    <w:rsid w:val="00102D20"/>
    <w:rsid w:val="002169ED"/>
    <w:rsid w:val="00251702"/>
    <w:rsid w:val="00347E9C"/>
    <w:rsid w:val="00586D37"/>
    <w:rsid w:val="006153EF"/>
    <w:rsid w:val="008565A7"/>
    <w:rsid w:val="009E603A"/>
    <w:rsid w:val="00B858DC"/>
    <w:rsid w:val="00BB1A98"/>
    <w:rsid w:val="00DE2EA5"/>
    <w:rsid w:val="00DF4807"/>
    <w:rsid w:val="00E62C4E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8B540E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Morrone Enrico</cp:lastModifiedBy>
  <cp:revision>6</cp:revision>
  <dcterms:created xsi:type="dcterms:W3CDTF">2023-09-06T13:55:00Z</dcterms:created>
  <dcterms:modified xsi:type="dcterms:W3CDTF">2023-11-25T17:07:00Z</dcterms:modified>
</cp:coreProperties>
</file>