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052" w:rsidRPr="00910F19" w:rsidRDefault="00185EC3" w:rsidP="00960AE4">
      <w:pPr>
        <w:pStyle w:val="StileTitolocopertinaCrenatura16pt"/>
        <w:jc w:val="both"/>
        <w:rPr>
          <w:rFonts w:ascii="Calibri" w:hAnsi="Calibri"/>
          <w:b/>
          <w:sz w:val="20"/>
          <w:szCs w:val="20"/>
        </w:rPr>
      </w:pPr>
      <w:r w:rsidRPr="00910F19">
        <w:rPr>
          <w:rFonts w:ascii="Calibri" w:hAnsi="Calibri"/>
          <w:b/>
          <w:sz w:val="20"/>
          <w:szCs w:val="20"/>
        </w:rPr>
        <w:t xml:space="preserve">FACSIMILE </w:t>
      </w:r>
      <w:r w:rsidR="00AB58D3" w:rsidRPr="00910F19">
        <w:rPr>
          <w:rFonts w:ascii="Calibri" w:hAnsi="Calibri"/>
          <w:b/>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DE38AB" w:rsidRPr="00DE38AB" w:rsidRDefault="00FA3377" w:rsidP="00DE38AB">
      <w:pPr>
        <w:rPr>
          <w:rFonts w:ascii="Calibri" w:hAnsi="Calibri"/>
          <w:b/>
          <w:caps/>
          <w:szCs w:val="20"/>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00DE38AB">
        <w:rPr>
          <w:rStyle w:val="BLOCKBOLD"/>
          <w:rFonts w:ascii="Calibri" w:hAnsi="Calibri"/>
        </w:rPr>
        <w:t xml:space="preserve"> </w:t>
      </w:r>
      <w:r w:rsidR="00DE38AB" w:rsidRPr="00DE38AB">
        <w:rPr>
          <w:rFonts w:ascii="Calibri" w:hAnsi="Calibri"/>
          <w:b/>
          <w:bCs/>
          <w:caps/>
          <w:szCs w:val="20"/>
        </w:rPr>
        <w:t>negoziata senza previa pubblicazione del bando su MEPA (ex art. 63 d.lgs. 50/2016, comma 2, lettera b3 e ex art. 36, comma 6 d.lgs. 50/2016) per “Servizio di riattivazione del software EPV e relativo servizio di manutenzione; servizio di supporto specialistico”.</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domiciliato per la carica presso la sede societaria</w:t>
      </w:r>
      <w:bookmarkStart w:id="0" w:name="_GoBack"/>
      <w:bookmarkEnd w:id="0"/>
      <w:r w:rsidRPr="00185D37">
        <w:rPr>
          <w:rFonts w:ascii="Calibri" w:hAnsi="Calibri" w:cs="Trebuchet MS"/>
          <w:szCs w:val="20"/>
        </w:rPr>
        <w:t xml:space="preserve">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57D29" w:rsidRPr="00157D29" w:rsidRDefault="00157D29" w:rsidP="00157D29">
      <w:pPr>
        <w:pStyle w:val="Numeroelenco"/>
        <w:numPr>
          <w:ilvl w:val="0"/>
          <w:numId w:val="0"/>
        </w:numPr>
        <w:ind w:left="426"/>
        <w:rPr>
          <w:rFonts w:ascii="Calibri" w:hAnsi="Calibri"/>
          <w:szCs w:val="20"/>
        </w:rPr>
      </w:pPr>
    </w:p>
    <w:p w:rsidR="00157D29" w:rsidRPr="000D33E9" w:rsidRDefault="00157D29" w:rsidP="00157D29">
      <w:pPr>
        <w:pStyle w:val="Numeroelenco"/>
        <w:numPr>
          <w:ilvl w:val="0"/>
          <w:numId w:val="9"/>
        </w:numPr>
        <w:ind w:left="851"/>
        <w:rPr>
          <w:rFonts w:ascii="Calibri" w:hAnsi="Calibri"/>
        </w:rPr>
      </w:pPr>
      <w:r w:rsidRPr="000D33E9">
        <w:rPr>
          <w:rFonts w:ascii="Calibri" w:hAnsi="Calibri"/>
        </w:rPr>
        <w:t>di non voler subappaltare parte del contratto a terzi;</w:t>
      </w:r>
    </w:p>
    <w:p w:rsidR="00157D29" w:rsidRPr="000D33E9" w:rsidRDefault="00157D29" w:rsidP="00157D29">
      <w:pPr>
        <w:pStyle w:val="Numeroelenco"/>
        <w:numPr>
          <w:ilvl w:val="0"/>
          <w:numId w:val="0"/>
        </w:numPr>
        <w:ind w:left="993"/>
        <w:rPr>
          <w:rFonts w:ascii="Calibri" w:hAnsi="Calibri" w:cs="Calibri"/>
          <w:i/>
          <w:kern w:val="0"/>
          <w:szCs w:val="20"/>
          <w:lang w:eastAsia="en-US"/>
        </w:rPr>
      </w:pPr>
      <w:r w:rsidRPr="000D33E9">
        <w:rPr>
          <w:rFonts w:ascii="Calibri" w:hAnsi="Calibri" w:cs="Calibri"/>
          <w:i/>
          <w:kern w:val="0"/>
          <w:szCs w:val="20"/>
          <w:lang w:eastAsia="en-US"/>
        </w:rPr>
        <w:t>o, in alternativa,</w:t>
      </w:r>
    </w:p>
    <w:p w:rsidR="00157D29" w:rsidRPr="000D33E9" w:rsidRDefault="00157D29" w:rsidP="00157D29">
      <w:pPr>
        <w:pStyle w:val="Numeroelenco"/>
        <w:numPr>
          <w:ilvl w:val="0"/>
          <w:numId w:val="0"/>
        </w:numPr>
        <w:ind w:left="709"/>
        <w:rPr>
          <w:rFonts w:ascii="Calibri" w:hAnsi="Calibri"/>
          <w:szCs w:val="20"/>
        </w:rPr>
      </w:pPr>
      <w:r w:rsidRPr="000D33E9">
        <w:rPr>
          <w:rFonts w:ascii="Calibri" w:hAnsi="Calibri" w:cs="Calibri"/>
          <w:szCs w:val="20"/>
        </w:rPr>
        <w:t>di voler subappaltare le seguenti presta</w:t>
      </w:r>
      <w:r w:rsidR="00416527">
        <w:rPr>
          <w:rFonts w:ascii="Calibri" w:hAnsi="Calibri" w:cs="Calibri"/>
          <w:szCs w:val="20"/>
        </w:rPr>
        <w:t xml:space="preserve">zioni____________________ nella </w:t>
      </w:r>
      <w:r w:rsidRPr="000D33E9">
        <w:rPr>
          <w:rFonts w:ascii="Calibri" w:hAnsi="Calibri" w:cs="Calibri"/>
          <w:szCs w:val="20"/>
        </w:rPr>
        <w:t>misura del ________ (</w:t>
      </w:r>
      <w:r w:rsidRPr="000D33E9">
        <w:rPr>
          <w:rFonts w:ascii="Calibri" w:hAnsi="Calibri" w:cs="Calibri"/>
          <w:i/>
          <w:kern w:val="0"/>
          <w:szCs w:val="20"/>
          <w:lang w:eastAsia="en-US"/>
        </w:rPr>
        <w:t>Elencare le prestazioni che si intende subappaltare e la relativa quota (espressa in percentuale) sull’importo contrattuale);</w:t>
      </w:r>
    </w:p>
    <w:p w:rsidR="000D33E9" w:rsidRPr="004073F9" w:rsidRDefault="000D33E9" w:rsidP="000D33E9">
      <w:pPr>
        <w:pStyle w:val="Numeroelenco"/>
        <w:numPr>
          <w:ilvl w:val="0"/>
          <w:numId w:val="9"/>
        </w:numPr>
        <w:tabs>
          <w:tab w:val="left" w:pos="708"/>
        </w:tabs>
        <w:ind w:left="851"/>
        <w:rPr>
          <w:rFonts w:ascii="Calibri" w:hAnsi="Calibri"/>
          <w:szCs w:val="20"/>
        </w:rPr>
      </w:pPr>
      <w:r w:rsidRPr="004073F9">
        <w:rPr>
          <w:rFonts w:ascii="Calibri" w:hAnsi="Calibri"/>
          <w:szCs w:val="20"/>
        </w:rPr>
        <w:t xml:space="preserve">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w:t>
      </w:r>
      <w:r w:rsidRPr="004073F9">
        <w:rPr>
          <w:rFonts w:ascii="Calibri" w:hAnsi="Calibri"/>
          <w:szCs w:val="20"/>
        </w:rPr>
        <w:lastRenderedPageBreak/>
        <w:t>hanno cessato il proprio rapporto con della Consip e/o della Committente da meno di tre anni, i quali, nell’ultimo triennio di servizio, abbiano esercitato nei confronti dell’impresa concorrente poteri autoritativi o negoziali per conto degli enti di cui sopra;</w:t>
      </w:r>
    </w:p>
    <w:p w:rsidR="00157D29" w:rsidRPr="000D33E9" w:rsidRDefault="00157D29" w:rsidP="00157D29">
      <w:pPr>
        <w:pStyle w:val="Numeroelenco"/>
        <w:numPr>
          <w:ilvl w:val="0"/>
          <w:numId w:val="9"/>
        </w:numPr>
        <w:ind w:left="709" w:hanging="218"/>
        <w:rPr>
          <w:rFonts w:ascii="Calibri" w:hAnsi="Calibri" w:cs="Calibri"/>
          <w:szCs w:val="20"/>
        </w:rPr>
      </w:pPr>
      <w:r w:rsidRPr="000D33E9">
        <w:rPr>
          <w:rFonts w:ascii="Calibri" w:hAnsi="Calibri" w:cs="Calibri"/>
          <w:szCs w:val="20"/>
        </w:rPr>
        <w:t>di non trovarsi rispetto ad un altro partecipante alla medesima procedura di affidamento, in una situazione di controllo di cui all'</w:t>
      </w:r>
      <w:hyperlink r:id="rId8" w:anchor="2359" w:history="1">
        <w:r w:rsidRPr="000D33E9">
          <w:rPr>
            <w:rFonts w:ascii="Calibri" w:hAnsi="Calibri" w:cs="Calibri"/>
            <w:szCs w:val="20"/>
          </w:rPr>
          <w:t>articolo 2359 del codice civile</w:t>
        </w:r>
      </w:hyperlink>
      <w:r w:rsidRPr="000D33E9">
        <w:rPr>
          <w:rFonts w:ascii="Calibri" w:hAnsi="Calibri" w:cs="Calibri"/>
          <w:szCs w:val="20"/>
        </w:rPr>
        <w:t xml:space="preserve"> o in una qualsiasi relazione, anche di fatto, se la situazione di controllo o la relazione comporti che le offerte sono imputabili ad un unico centro decisionale (articolo 80, comma 5, lettera m);</w:t>
      </w:r>
      <w:r w:rsidRPr="000D33E9">
        <w:rPr>
          <w:rFonts w:ascii="Calibri" w:hAnsi="Calibri" w:cs="Calibri"/>
          <w:i/>
          <w:szCs w:val="20"/>
        </w:rPr>
        <w:t xml:space="preserve"> </w:t>
      </w:r>
    </w:p>
    <w:p w:rsidR="00157D29" w:rsidRPr="000D33E9" w:rsidRDefault="00157D29" w:rsidP="00157D29">
      <w:pPr>
        <w:pStyle w:val="Numeroelenco"/>
        <w:numPr>
          <w:ilvl w:val="0"/>
          <w:numId w:val="0"/>
        </w:numPr>
        <w:ind w:left="993"/>
        <w:rPr>
          <w:rFonts w:ascii="Calibri" w:hAnsi="Calibri" w:cs="Calibri"/>
          <w:szCs w:val="20"/>
        </w:rPr>
      </w:pPr>
      <w:r w:rsidRPr="000D33E9">
        <w:rPr>
          <w:rFonts w:ascii="Calibri" w:hAnsi="Calibri" w:cs="Calibri"/>
          <w:i/>
          <w:szCs w:val="20"/>
        </w:rPr>
        <w:t>o in alternativa</w:t>
      </w:r>
    </w:p>
    <w:p w:rsidR="00157D29" w:rsidRPr="000D33E9" w:rsidRDefault="00157D29" w:rsidP="00157D29">
      <w:pPr>
        <w:pStyle w:val="Numeroelenco"/>
        <w:numPr>
          <w:ilvl w:val="0"/>
          <w:numId w:val="0"/>
        </w:numPr>
        <w:ind w:left="709"/>
        <w:rPr>
          <w:rFonts w:ascii="Calibri" w:hAnsi="Calibri" w:cs="Calibri"/>
          <w:szCs w:val="20"/>
        </w:rPr>
      </w:pPr>
      <w:r w:rsidRPr="000D33E9">
        <w:rPr>
          <w:rFonts w:ascii="Calibri" w:hAnsi="Calibri" w:cs="Calibri"/>
          <w:szCs w:val="20"/>
        </w:rPr>
        <w:t>di trovarsi rispetto ad un altro partecipante alla medesima procedura di affidamento, in una situazione di controllo di cui all'</w:t>
      </w:r>
      <w:hyperlink r:id="rId9" w:anchor="2359" w:history="1">
        <w:r w:rsidRPr="000D33E9">
          <w:rPr>
            <w:rFonts w:ascii="Calibri" w:hAnsi="Calibri" w:cs="Calibri"/>
            <w:szCs w:val="20"/>
          </w:rPr>
          <w:t>articolo 2359 del codice civile</w:t>
        </w:r>
      </w:hyperlink>
      <w:r w:rsidRPr="000D33E9">
        <w:rPr>
          <w:rFonts w:ascii="Calibri" w:hAnsi="Calibri" w:cs="Calibri"/>
          <w:szCs w:val="20"/>
        </w:rPr>
        <w:t xml:space="preserve"> o in una qualsiasi relazione, anche di fatto, se la situazione di controllo o la relazione comporti che le offerte sono imputabili ad un unico centro decisionale (articolo 80, comma 5, lettera m);</w:t>
      </w:r>
      <w:r w:rsidRPr="000D33E9">
        <w:rPr>
          <w:rFonts w:ascii="Calibri" w:hAnsi="Calibri" w:cs="Calibri"/>
          <w:i/>
          <w:szCs w:val="20"/>
        </w:rPr>
        <w:t xml:space="preserve"> </w:t>
      </w:r>
    </w:p>
    <w:p w:rsidR="005357A4" w:rsidRPr="00185D37" w:rsidRDefault="005357A4" w:rsidP="00966607">
      <w:pPr>
        <w:pStyle w:val="Numeroelenco"/>
        <w:numPr>
          <w:ilvl w:val="0"/>
          <w:numId w:val="0"/>
        </w:numPr>
        <w:rPr>
          <w:rFonts w:ascii="Calibri" w:hAnsi="Calibri"/>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921DB9" w:rsidRPr="00966607" w:rsidRDefault="00C10D5E" w:rsidP="00966607">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che al momento della presentazione dell’offerta ha</w:t>
      </w:r>
      <w:r w:rsidR="00F37A3D" w:rsidRPr="00F37A3D">
        <w:rPr>
          <w:rFonts w:ascii="Calibri" w:hAnsi="Calibri"/>
          <w:szCs w:val="20"/>
        </w:rPr>
        <w:t>/non ha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w:t>
      </w:r>
      <w:r w:rsidR="00966607">
        <w:rPr>
          <w:rFonts w:ascii="Calibri" w:hAnsi="Calibri"/>
          <w:szCs w:val="20"/>
        </w:rPr>
        <w:t>ne dei documenti per la stipula;</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lastRenderedPageBreak/>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6E7469">
        <w:rPr>
          <w:rFonts w:ascii="Calibri" w:eastAsia="Calibri" w:hAnsi="Calibri" w:cs="Calibri"/>
          <w:kern w:val="0"/>
          <w:szCs w:val="20"/>
        </w:rPr>
        <w:t>Binding</w:t>
      </w:r>
      <w:proofErr w:type="spellEnd"/>
      <w:r w:rsidRPr="006E7469">
        <w:rPr>
          <w:rFonts w:ascii="Calibri" w:eastAsia="Calibri" w:hAnsi="Calibri" w:cs="Calibri"/>
          <w:kern w:val="0"/>
          <w:szCs w:val="20"/>
        </w:rPr>
        <w:t xml:space="preserve"> Corporate </w:t>
      </w:r>
      <w:proofErr w:type="spellStart"/>
      <w:r w:rsidRPr="006E7469">
        <w:rPr>
          <w:rFonts w:ascii="Calibri" w:eastAsia="Calibri" w:hAnsi="Calibri" w:cs="Calibri"/>
          <w:kern w:val="0"/>
          <w:szCs w:val="20"/>
        </w:rPr>
        <w:t>Rules</w:t>
      </w:r>
      <w:proofErr w:type="spellEnd"/>
      <w:r w:rsidRPr="006E7469">
        <w:rPr>
          <w:rFonts w:ascii="Calibri" w:eastAsia="Calibri" w:hAnsi="Calibri" w:cs="Calibri"/>
          <w:kern w:val="0"/>
          <w:szCs w:val="20"/>
        </w:rPr>
        <w:t xml:space="preserve">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386AE4" w:rsidRPr="00AD08F6" w:rsidRDefault="00386AE4" w:rsidP="00386AE4">
      <w:pPr>
        <w:ind w:right="16"/>
        <w:rPr>
          <w:rFonts w:cs="Calibri"/>
          <w:i/>
          <w:color w:val="0000CC"/>
          <w:lang w:eastAsia="ar-SA"/>
        </w:rPr>
      </w:pPr>
      <w:r w:rsidRPr="000D33E9">
        <w:rPr>
          <w:rFonts w:cs="Calibri"/>
          <w:i/>
          <w:color w:val="0000CC"/>
          <w:lang w:eastAsia="ar-SA"/>
        </w:rPr>
        <w:t xml:space="preserve">&lt;eventuali </w:t>
      </w:r>
      <w:r w:rsidRPr="000D33E9">
        <w:rPr>
          <w:rFonts w:ascii="Calibri" w:hAnsi="Calibri" w:cs="Arial"/>
          <w:i/>
          <w:color w:val="0000CC"/>
          <w:szCs w:val="20"/>
        </w:rPr>
        <w:t>dichiarazioni relative alle</w:t>
      </w:r>
      <w:r w:rsidRPr="000D33E9">
        <w:rPr>
          <w:rFonts w:ascii="Calibri" w:hAnsi="Calibri" w:cs="Arial"/>
          <w:i/>
          <w:color w:val="0000CC"/>
          <w:szCs w:val="20"/>
          <w:u w:val="single"/>
        </w:rPr>
        <w:t xml:space="preserve"> fattispecie</w:t>
      </w:r>
      <w:r w:rsidRPr="000D33E9">
        <w:rPr>
          <w:rFonts w:ascii="Calibri" w:hAnsi="Calibri" w:cs="Arial"/>
          <w:i/>
          <w:color w:val="0000CC"/>
          <w:szCs w:val="20"/>
        </w:rPr>
        <w:t xml:space="preserve"> ricadenti nell’ambito di applicazione dell’art. 80, </w:t>
      </w:r>
      <w:r w:rsidRPr="000D33E9">
        <w:rPr>
          <w:rFonts w:ascii="Calibri" w:hAnsi="Calibri" w:cs="Arial"/>
          <w:b/>
          <w:i/>
          <w:color w:val="0000CC"/>
          <w:szCs w:val="20"/>
        </w:rPr>
        <w:t xml:space="preserve">comma 5, </w:t>
      </w:r>
      <w:r w:rsidRPr="000D33E9">
        <w:rPr>
          <w:rFonts w:ascii="Calibri" w:hAnsi="Calibri" w:cs="Arial"/>
          <w:i/>
          <w:color w:val="0000CC"/>
          <w:szCs w:val="20"/>
        </w:rPr>
        <w:t>così come precisate nelle condizioni particolari di RDO,</w:t>
      </w:r>
      <w:r w:rsidRPr="000D33E9">
        <w:rPr>
          <w:rFonts w:cs="Calibri"/>
          <w:i/>
          <w:color w:val="0000CC"/>
          <w:lang w:eastAsia="ar-SA"/>
        </w:rPr>
        <w:t xml:space="preserve"> </w:t>
      </w:r>
      <w:r w:rsidRPr="000D33E9">
        <w:rPr>
          <w:rFonts w:ascii="Calibri" w:hAnsi="Calibri" w:cs="Arial"/>
          <w:b/>
          <w:i/>
          <w:color w:val="0000CC"/>
          <w:szCs w:val="20"/>
        </w:rPr>
        <w:t>laddove in sede di ammissione al MEPA o di rinnovo dati non se ne fosse tenuto conto&gt;</w:t>
      </w:r>
    </w:p>
    <w:p w:rsidR="008D2330" w:rsidRDefault="008D2330" w:rsidP="00771C0E">
      <w:pPr>
        <w:pStyle w:val="Numeroelenco"/>
        <w:numPr>
          <w:ilvl w:val="0"/>
          <w:numId w:val="0"/>
        </w:numPr>
        <w:rPr>
          <w:rFonts w:ascii="Calibri" w:hAnsi="Calibri"/>
          <w:szCs w:val="20"/>
        </w:rPr>
      </w:pP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6FB" w:rsidRDefault="007016FB" w:rsidP="00816101">
      <w:r>
        <w:separator/>
      </w:r>
    </w:p>
  </w:endnote>
  <w:endnote w:type="continuationSeparator" w:id="0">
    <w:p w:rsidR="007016FB" w:rsidRDefault="007016FB"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Default="00AF2095" w:rsidP="0060120F">
    <w:pPr>
      <w:pStyle w:val="Pidipagina"/>
      <w:spacing w:line="240" w:lineRule="auto"/>
    </w:pPr>
    <w:r w:rsidRPr="00297ED3">
      <w:t>Classificazione</w:t>
    </w:r>
    <w:r w:rsidR="00DE38AB">
      <w:t xml:space="preserve"> del documento: Consip Public</w:t>
    </w:r>
  </w:p>
  <w:p w:rsidR="00DE38AB" w:rsidRPr="00DE38AB" w:rsidRDefault="00DE38AB" w:rsidP="00DE38AB">
    <w:pPr>
      <w:pStyle w:val="Pidipagina"/>
    </w:pPr>
    <w:r w:rsidRPr="00DE38AB">
      <w:rPr>
        <w:bCs/>
      </w:rPr>
      <w:t>Procedura negoziata senza previa pubblicazione del bando su MEPA (ex art. 63 d.lgs. 50/2016, comma 2, lettera b3 e ex art. 36, comma 6 d.lgs. 50/2016) per “Servizio di riattivazione del software EPV e relativo servizio di manutenzione; servizio di supporto specialistico”.</w:t>
    </w:r>
  </w:p>
  <w:p w:rsidR="00771C0E" w:rsidRPr="00297ED3" w:rsidRDefault="00771C0E" w:rsidP="00771C0E">
    <w:pPr>
      <w:pStyle w:val="Pidipagina"/>
      <w:spacing w:line="240" w:lineRule="auto"/>
      <w:rPr>
        <w:rStyle w:val="Numeropagina"/>
        <w:rFonts w:ascii="Calibri" w:hAnsi="Calibri"/>
        <w:sz w:val="18"/>
        <w:szCs w:val="18"/>
      </w:rPr>
    </w:pPr>
  </w:p>
  <w:p w:rsidR="00450DAF" w:rsidRPr="00AF2095" w:rsidRDefault="007F3970" w:rsidP="007B6DFD">
    <w:pPr>
      <w:pStyle w:val="Pidipagina"/>
      <w:tabs>
        <w:tab w:val="clear" w:pos="9638"/>
        <w:tab w:val="left" w:pos="4819"/>
      </w:tabs>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C3B4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C3B4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C3B4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C3B4C">
                      <w:rPr>
                        <w:rStyle w:val="Numeropagina"/>
                        <w:noProof/>
                      </w:rPr>
                      <w:t>4</w:t>
                    </w:r>
                    <w:r w:rsidRPr="000D2520">
                      <w:rPr>
                        <w:rStyle w:val="Numeropagina"/>
                      </w:rPr>
                      <w:fldChar w:fldCharType="end"/>
                    </w:r>
                  </w:p>
                </w:txbxContent>
              </v:textbox>
            </v:shape>
          </w:pict>
        </mc:Fallback>
      </mc:AlternateContent>
    </w:r>
    <w:r w:rsidR="00771C0E">
      <w:t xml:space="preserve">Dichiarazione integrativa </w:t>
    </w:r>
    <w:r w:rsidR="007B6DFD">
      <w:tab/>
      <w:t xml:space="preserve">rev. </w:t>
    </w:r>
    <w:r w:rsidR="004B31A0">
      <w:t>23</w:t>
    </w:r>
    <w:r w:rsidR="007B6DFD">
      <w:t>/0</w:t>
    </w:r>
    <w:r w:rsidR="004B31A0">
      <w:t>5</w:t>
    </w:r>
    <w:r w:rsidR="007B6DFD">
      <w:t>/2023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Default="0082712A" w:rsidP="0082712A">
    <w:pPr>
      <w:pStyle w:val="Pidipagina"/>
      <w:spacing w:line="240" w:lineRule="auto"/>
    </w:pPr>
    <w:r w:rsidRPr="00297ED3">
      <w:t>Classificazione</w:t>
    </w:r>
    <w:r w:rsidR="00DE38AB">
      <w:t xml:space="preserve"> del documento: Consip Public</w:t>
    </w:r>
  </w:p>
  <w:p w:rsidR="00DE38AB" w:rsidRPr="00297ED3" w:rsidRDefault="00DE38AB" w:rsidP="0082712A">
    <w:pPr>
      <w:pStyle w:val="Pidipagina"/>
      <w:spacing w:line="240" w:lineRule="auto"/>
    </w:pPr>
    <w:r w:rsidRPr="00DE38AB">
      <w:rPr>
        <w:bCs/>
      </w:rPr>
      <w:t>Procedura negoziata senza previa pubblicazione del bando su MEPA (ex art. 63 d.lgs. 50/2016, comma 2, lettera b3 e ex a</w:t>
    </w:r>
    <w:r>
      <w:rPr>
        <w:bCs/>
      </w:rPr>
      <w:t>rt. 36, comma 6 d.lgs. 50/2016) per “</w:t>
    </w:r>
    <w:r w:rsidRPr="00DE38AB">
      <w:rPr>
        <w:bCs/>
      </w:rPr>
      <w:t>Servizio di riattivazione del software EPV e relativo servizio di manutenzione; servizio di supporto specialistico</w:t>
    </w:r>
    <w:r>
      <w:rPr>
        <w:bCs/>
      </w:rPr>
      <w:t>”</w:t>
    </w:r>
    <w:r w:rsidRPr="00DE38AB">
      <w:rPr>
        <w:bCs/>
      </w:rPr>
      <w:t>.</w:t>
    </w:r>
  </w:p>
  <w:p w:rsidR="0082712A" w:rsidRPr="00297ED3" w:rsidRDefault="0082712A" w:rsidP="0082712A">
    <w:pPr>
      <w:pStyle w:val="Pidipagina"/>
      <w:spacing w:line="240" w:lineRule="auto"/>
      <w:rPr>
        <w:rStyle w:val="Numeropagina"/>
        <w:rFonts w:ascii="Calibri" w:hAnsi="Calibri"/>
        <w:sz w:val="18"/>
        <w:szCs w:val="18"/>
      </w:rPr>
    </w:pPr>
  </w:p>
  <w:p w:rsidR="00771C0E" w:rsidRPr="00AF2095" w:rsidRDefault="007F3970"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10F1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10F19">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10F1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10F19">
                      <w:rPr>
                        <w:rStyle w:val="Numeropagina"/>
                        <w:noProof/>
                      </w:rPr>
                      <w:t>4</w:t>
                    </w:r>
                    <w:r w:rsidRPr="000D2520">
                      <w:rPr>
                        <w:rStyle w:val="Numeropagina"/>
                      </w:rPr>
                      <w:fldChar w:fldCharType="end"/>
                    </w:r>
                  </w:p>
                </w:txbxContent>
              </v:textbox>
            </v:shape>
          </w:pict>
        </mc:Fallback>
      </mc:AlternateContent>
    </w:r>
    <w:r w:rsidR="00771C0E">
      <w:t xml:space="preserve">Dichiarazione integrativa </w:t>
    </w:r>
    <w:r w:rsidR="007B6DFD">
      <w:tab/>
      <w:t xml:space="preserve">rev. </w:t>
    </w:r>
    <w:r w:rsidR="004B31A0">
      <w:t>23</w:t>
    </w:r>
    <w:r w:rsidR="007B6DFD">
      <w:t>/0</w:t>
    </w:r>
    <w:r w:rsidR="004B31A0">
      <w:t>5</w:t>
    </w:r>
    <w:r w:rsidR="007B6DFD">
      <w:t>/2023</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6FB" w:rsidRDefault="007016FB" w:rsidP="00816101">
      <w:r>
        <w:separator/>
      </w:r>
    </w:p>
  </w:footnote>
  <w:footnote w:type="continuationSeparator" w:id="0">
    <w:p w:rsidR="007016FB" w:rsidRDefault="007016FB"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3970"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3970"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33E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B71"/>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4E5"/>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3F9"/>
    <w:rsid w:val="00411A53"/>
    <w:rsid w:val="00412114"/>
    <w:rsid w:val="00412144"/>
    <w:rsid w:val="004125F4"/>
    <w:rsid w:val="0041342B"/>
    <w:rsid w:val="00415C2F"/>
    <w:rsid w:val="00416527"/>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1A0"/>
    <w:rsid w:val="004B6839"/>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671A2"/>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4F79"/>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B4C"/>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6FB"/>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08E5"/>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B6DFD"/>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970"/>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0F19"/>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607"/>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984"/>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8AB"/>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2074CE7"/>
  <w15:chartTrackingRefBased/>
  <w15:docId w15:val="{4FF37E61-B5CE-4E7C-BE83-1F7B51331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695156257">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codicecivile.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DBD96-DB43-4FE1-BDA4-444C920CD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1057</Words>
  <Characters>6413</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7456</CharactersWithSpaces>
  <SharedDoc>false</SharedDoc>
  <HLinks>
    <vt:vector size="12" baseType="variant">
      <vt:variant>
        <vt:i4>3670050</vt:i4>
      </vt:variant>
      <vt:variant>
        <vt:i4>3</vt:i4>
      </vt:variant>
      <vt:variant>
        <vt:i4>0</vt:i4>
      </vt:variant>
      <vt:variant>
        <vt:i4>5</vt:i4>
      </vt:variant>
      <vt:variant>
        <vt:lpwstr>http://www.bosettiegatti.eu/info/norme/statali/codicecivile.htm</vt:lpwstr>
      </vt:variant>
      <vt:variant>
        <vt:lpwstr>2359</vt:lpwstr>
      </vt:variant>
      <vt:variant>
        <vt:i4>3670050</vt:i4>
      </vt:variant>
      <vt:variant>
        <vt:i4>0</vt:i4>
      </vt:variant>
      <vt:variant>
        <vt:i4>0</vt:i4>
      </vt:variant>
      <vt:variant>
        <vt:i4>5</vt:i4>
      </vt:variant>
      <vt:variant>
        <vt:lpwstr>http://www.bosettiegatti.eu/info/norme/statali/codicecivile.htm</vt:lpwstr>
      </vt:variant>
      <vt:variant>
        <vt:lpwstr>2359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Milisenda Floriana</cp:lastModifiedBy>
  <cp:revision>5</cp:revision>
  <cp:lastPrinted>2018-01-17T13:34:00Z</cp:lastPrinted>
  <dcterms:created xsi:type="dcterms:W3CDTF">2023-06-06T12:14:00Z</dcterms:created>
  <dcterms:modified xsi:type="dcterms:W3CDTF">2023-06-09T09:41:00Z</dcterms:modified>
</cp:coreProperties>
</file>