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800B1">
        <w:rPr>
          <w:rFonts w:cs="TimesNewRoman"/>
          <w:b/>
          <w:sz w:val="20"/>
          <w:szCs w:val="20"/>
        </w:rPr>
        <w:t>Sogei</w:t>
      </w:r>
      <w:r w:rsidR="007F5B26">
        <w:rPr>
          <w:rFonts w:cs="TimesNewRoman"/>
          <w:b/>
          <w:sz w:val="20"/>
          <w:szCs w:val="20"/>
        </w:rPr>
        <w:t xml:space="preserve">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CF0B3A" w:rsidRPr="00196503">
        <w:rPr>
          <w:rFonts w:cs="TimesNewRoman"/>
          <w:sz w:val="20"/>
          <w:szCs w:val="20"/>
        </w:rPr>
        <w:t>Consip S.p.</w:t>
      </w:r>
      <w:r w:rsidR="00AC5129">
        <w:rPr>
          <w:rFonts w:cs="TimesNewRoman"/>
          <w:sz w:val="20"/>
          <w:szCs w:val="20"/>
        </w:rPr>
        <w:t xml:space="preserve">A. (di seguito anche </w:t>
      </w:r>
      <w:r w:rsidR="00CF0B3A" w:rsidRPr="00196503">
        <w:rPr>
          <w:rFonts w:cs="TimesNewRoman"/>
          <w:sz w:val="20"/>
          <w:szCs w:val="20"/>
        </w:rPr>
        <w:t>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AC5129">
        <w:rPr>
          <w:rFonts w:cs="TimesNewRoman"/>
          <w:sz w:val="20"/>
          <w:szCs w:val="20"/>
        </w:rPr>
        <w:t>Consip</w:t>
      </w:r>
      <w:r w:rsidR="00E22B77"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 xml:space="preserve">Consip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CF0B3A" w:rsidRPr="00196503">
        <w:rPr>
          <w:rFonts w:cs="TimesNewRoman"/>
          <w:sz w:val="20"/>
          <w:szCs w:val="20"/>
        </w:rPr>
        <w:t xml:space="preserve">Consip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8647A1" w:rsidP="008647A1">
      <w:pPr>
        <w:tabs>
          <w:tab w:val="left" w:pos="3746"/>
        </w:tabs>
        <w:rPr>
          <w:sz w:val="20"/>
          <w:szCs w:val="20"/>
        </w:rPr>
      </w:pPr>
      <w:bookmarkStart w:id="0" w:name="_GoBack"/>
      <w:bookmarkEnd w:id="0"/>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741" w:rsidRDefault="006C5741" w:rsidP="00C50E01">
      <w:pPr>
        <w:spacing w:after="0" w:line="240" w:lineRule="auto"/>
      </w:pPr>
      <w:r>
        <w:separator/>
      </w:r>
    </w:p>
  </w:endnote>
  <w:endnote w:type="continuationSeparator" w:id="0">
    <w:p w:rsidR="006C5741" w:rsidRDefault="006C5741"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Classificazione del documento: Consip Public</w:t>
    </w:r>
  </w:p>
  <w:p w:rsidR="00C50E01" w:rsidRPr="00C50E01" w:rsidRDefault="007800B1" w:rsidP="00C50E01">
    <w:pPr>
      <w:pStyle w:val="Pidipagina"/>
      <w:rPr>
        <w:b/>
        <w:sz w:val="18"/>
        <w:szCs w:val="18"/>
      </w:rPr>
    </w:pPr>
    <w:r w:rsidRPr="007800B1">
      <w:rPr>
        <w:sz w:val="18"/>
        <w:szCs w:val="18"/>
      </w:rPr>
      <w:t xml:space="preserve">Procedura negoziata senza pubblicazione di un bando sul Mepa (ex art. 50 D. </w:t>
    </w:r>
    <w:proofErr w:type="spellStart"/>
    <w:r w:rsidRPr="007800B1">
      <w:rPr>
        <w:sz w:val="18"/>
        <w:szCs w:val="18"/>
      </w:rPr>
      <w:t>Lgs</w:t>
    </w:r>
    <w:proofErr w:type="spellEnd"/>
    <w:r w:rsidRPr="007800B1">
      <w:rPr>
        <w:sz w:val="18"/>
        <w:szCs w:val="18"/>
      </w:rPr>
      <w:t>. 36/2023, comma 1, lettera e) per la manutenzione apparati crittografici Luna Network HSM S750 e acquisizione nuove licenze</w:t>
    </w:r>
    <w:r>
      <w:rPr>
        <w:sz w:val="18"/>
        <w:szCs w:val="18"/>
      </w:rPr>
      <w:t>.</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C50E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741" w:rsidRDefault="006C5741" w:rsidP="00C50E01">
      <w:pPr>
        <w:spacing w:after="0" w:line="240" w:lineRule="auto"/>
      </w:pPr>
      <w:r>
        <w:separator/>
      </w:r>
    </w:p>
  </w:footnote>
  <w:footnote w:type="continuationSeparator" w:id="0">
    <w:p w:rsidR="006C5741" w:rsidRDefault="006C5741"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5741"/>
    <w:rsid w:val="006C7A57"/>
    <w:rsid w:val="00722C85"/>
    <w:rsid w:val="0076702E"/>
    <w:rsid w:val="007800B1"/>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9D5879"/>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1CE56-E06A-45AF-98FD-296F77230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1172</Words>
  <Characters>6687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Maggiori Francesco</cp:lastModifiedBy>
  <cp:revision>4</cp:revision>
  <cp:lastPrinted>2018-10-05T16:10:00Z</cp:lastPrinted>
  <dcterms:created xsi:type="dcterms:W3CDTF">2023-10-11T07:03:00Z</dcterms:created>
  <dcterms:modified xsi:type="dcterms:W3CDTF">2023-10-16T10:39:00Z</dcterms:modified>
</cp:coreProperties>
</file>