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54A6FD92"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w:t>
      </w:r>
      <w:r w:rsidR="00B16D67">
        <w:rPr>
          <w:rFonts w:asciiTheme="minorHAnsi" w:hAnsiTheme="minorHAnsi" w:cstheme="minorHAnsi"/>
          <w:b/>
          <w:color w:val="auto"/>
          <w:sz w:val="20"/>
          <w:szCs w:val="20"/>
        </w:rPr>
        <w:t xml:space="preserve">CEDURA DI GARA </w:t>
      </w:r>
      <w:r w:rsidR="00C451E9" w:rsidRPr="00C451E9">
        <w:rPr>
          <w:rFonts w:asciiTheme="minorHAnsi" w:hAnsiTheme="minorHAnsi" w:cstheme="minorHAnsi"/>
          <w:b/>
          <w:color w:val="auto"/>
          <w:sz w:val="20"/>
          <w:szCs w:val="20"/>
        </w:rPr>
        <w:t xml:space="preserve">per </w:t>
      </w:r>
      <w:r w:rsidR="00311BC1">
        <w:rPr>
          <w:rFonts w:asciiTheme="minorHAnsi" w:hAnsiTheme="minorHAnsi" w:cstheme="minorHAnsi"/>
          <w:b/>
          <w:color w:val="auto"/>
          <w:sz w:val="20"/>
          <w:szCs w:val="20"/>
        </w:rPr>
        <w:t>L’</w:t>
      </w:r>
      <w:r w:rsidR="00311BC1" w:rsidRPr="00311BC1">
        <w:rPr>
          <w:rFonts w:asciiTheme="minorHAnsi" w:hAnsiTheme="minorHAnsi" w:cstheme="minorHAnsi"/>
          <w:b/>
          <w:color w:val="auto"/>
          <w:sz w:val="20"/>
          <w:szCs w:val="20"/>
        </w:rPr>
        <w:t xml:space="preserve">Affidamento diretto su MEPA (ex art. 1 comma 2 lett. a) della legge 120/2020 ed ex art. 36, comma 6 d.lgs. 50/2016) </w:t>
      </w:r>
      <w:r w:rsidR="00201FC6" w:rsidRPr="00201FC6">
        <w:rPr>
          <w:rFonts w:asciiTheme="minorHAnsi" w:hAnsiTheme="minorHAnsi" w:cstheme="minorHAnsi"/>
          <w:b/>
          <w:color w:val="auto"/>
          <w:sz w:val="20"/>
          <w:szCs w:val="20"/>
        </w:rPr>
        <w:t>PER L’ACQUISIZIONE DEL SERVIZIO DI MANUTENZIONE DELLA PIATTAFORMA SW IDOL</w:t>
      </w:r>
      <w:bookmarkStart w:id="0" w:name="_GoBack"/>
      <w:bookmarkEnd w:id="0"/>
      <w:r w:rsidR="00311BC1">
        <w:rPr>
          <w:rFonts w:asciiTheme="minorHAnsi" w:hAnsiTheme="minorHAnsi" w:cstheme="minorHAnsi"/>
          <w:b/>
          <w:color w:val="auto"/>
          <w:sz w:val="20"/>
          <w:szCs w:val="20"/>
        </w:rPr>
        <w:t>.</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414A21">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414A21">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414A21">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414A21">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414A21">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414A21">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897E0" w14:textId="77777777" w:rsidR="00414A21" w:rsidRDefault="00414A21" w:rsidP="00BC3646">
      <w:pPr>
        <w:spacing w:line="240" w:lineRule="auto"/>
      </w:pPr>
      <w:r>
        <w:separator/>
      </w:r>
    </w:p>
  </w:endnote>
  <w:endnote w:type="continuationSeparator" w:id="0">
    <w:p w14:paraId="3B0585EE" w14:textId="77777777" w:rsidR="00414A21" w:rsidRDefault="00414A21"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6926845F"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201FC6">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D874D" w14:textId="77777777" w:rsidR="00414A21" w:rsidRDefault="00414A21" w:rsidP="00BC3646">
      <w:pPr>
        <w:spacing w:line="240" w:lineRule="auto"/>
      </w:pPr>
      <w:r>
        <w:separator/>
      </w:r>
    </w:p>
  </w:footnote>
  <w:footnote w:type="continuationSeparator" w:id="0">
    <w:p w14:paraId="4CD07C07" w14:textId="77777777" w:rsidR="00414A21" w:rsidRDefault="00414A21"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48"/>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4EC"/>
    <w:rsid w:val="00201D21"/>
    <w:rsid w:val="00201FC6"/>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1BC1"/>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4A21"/>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515"/>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59AC"/>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5B3E"/>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23618"/>
    <w:rsid w:val="0084216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C43FA"/>
    <w:rsid w:val="008D1B2B"/>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3F2F"/>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2283"/>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7113D"/>
    <w:rsid w:val="00A80FEC"/>
    <w:rsid w:val="00A85301"/>
    <w:rsid w:val="00A969FE"/>
    <w:rsid w:val="00A96FA4"/>
    <w:rsid w:val="00AA597D"/>
    <w:rsid w:val="00AA77FE"/>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451E9"/>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CF391A"/>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906A8"/>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7E718-94E3-4ADE-B6BA-EDA81B6D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2570</Words>
  <Characters>14653</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2022-12-06T10:33:00Z</dcterms:modified>
</cp:coreProperties>
</file>