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6CB015FC" w:rsidR="00FF22A5" w:rsidRDefault="00115072" w:rsidP="00115072">
      <w:pPr>
        <w:jc w:val="both"/>
        <w:rPr>
          <w:rStyle w:val="BLOCKBOLD"/>
          <w:rFonts w:ascii="Calibri" w:hAnsi="Calibri"/>
        </w:rPr>
      </w:pPr>
      <w:r w:rsidRPr="00115072">
        <w:rPr>
          <w:rStyle w:val="BLOCKBOLD"/>
          <w:rFonts w:ascii="Calibri" w:hAnsi="Calibri"/>
        </w:rPr>
        <w:t>Affidamento Diretto su MEPA (ex art. 1 comma 2 lett. a) della Legge 120/2020 ed ex art. 36, comma 6 D.lgs. 50/2016) per la fornitura di n. 200 zaini porta pc</w:t>
      </w:r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</w:t>
      </w:r>
      <w:bookmarkStart w:id="0" w:name="_GoBack"/>
      <w:bookmarkEnd w:id="0"/>
      <w:r w:rsidRPr="00723FCF">
        <w:rPr>
          <w:rStyle w:val="BLOCKBOLD"/>
          <w:rFonts w:ascii="Calibri" w:hAnsi="Calibri"/>
        </w:rPr>
        <w:t>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7FE1B229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115072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5072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2022-11-10T14:07:00Z</dcterms:modified>
</cp:coreProperties>
</file>