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E432C8" w:rsidRPr="009D7245" w:rsidRDefault="00E14CF2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16"/>
          <w:szCs w:val="16"/>
        </w:rPr>
        <w:br w:type="page"/>
      </w:r>
      <w:r w:rsidR="00E432C8"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>Classificazion</w:t>
    </w:r>
    <w:r w:rsidR="00B50BA1">
      <w:rPr>
        <w:rFonts w:ascii="Cambria" w:hAnsi="Cambria"/>
        <w:color w:val="808080"/>
        <w:sz w:val="16"/>
        <w:szCs w:val="14"/>
      </w:rPr>
      <w:t>e del documento: Consip 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B50BA1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3B3AEE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3AEE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0BA1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26658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58EDC2A2"/>
  <w15:chartTrackingRefBased/>
  <w15:docId w15:val="{4152B55D-72BA-4E57-86BB-7CFAC633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3FE13-6ACF-4405-A3D2-60447FB85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3159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4</cp:revision>
  <cp:lastPrinted>2011-06-24T13:40:00Z</cp:lastPrinted>
  <dcterms:created xsi:type="dcterms:W3CDTF">2022-07-06T08:25:00Z</dcterms:created>
  <dcterms:modified xsi:type="dcterms:W3CDTF">2022-07-06T08:26:00Z</dcterms:modified>
</cp:coreProperties>
</file>