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AB2F10" w:rsidRPr="00ED47DB">
        <w:rPr>
          <w:rFonts w:asciiTheme="majorHAnsi" w:hAnsiTheme="majorHAnsi"/>
          <w:kern w:val="32"/>
          <w:sz w:val="20"/>
          <w:szCs w:val="20"/>
        </w:rPr>
        <w:t xml:space="preserve">___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1F0DF7" w:rsidRDefault="00C13CCF" w:rsidP="001A3298">
      <w:pPr>
        <w:spacing w:line="300" w:lineRule="exact"/>
        <w:rPr>
          <w:rFonts w:asciiTheme="majorHAnsi" w:hAnsiTheme="majorHAnsi" w:cs="Trebuchet MS"/>
          <w:b/>
          <w:iCs/>
          <w:caps/>
          <w:szCs w:val="20"/>
        </w:rPr>
      </w:pPr>
      <w:r w:rsidRPr="00ED47DB">
        <w:rPr>
          <w:rStyle w:val="BLOCKBOLD"/>
          <w:rFonts w:asciiTheme="majorHAnsi" w:hAnsiTheme="majorHAnsi"/>
        </w:rPr>
        <w:t xml:space="preserve">DICHIARAZIONE NECESSARIA RESA ANCHE AI SENSI DEGLI ARTT. 46 E 47 DEL D.P.R. 445/2000 </w:t>
      </w:r>
      <w:r w:rsidRPr="001F0DF7">
        <w:rPr>
          <w:rStyle w:val="BLOCKBOLD"/>
          <w:rFonts w:asciiTheme="majorHAnsi" w:hAnsiTheme="majorHAnsi"/>
        </w:rPr>
        <w:t xml:space="preserve">per </w:t>
      </w:r>
      <w:r w:rsidR="001F0DF7" w:rsidRPr="001F0DF7">
        <w:rPr>
          <w:rStyle w:val="BLOCKBOLD"/>
          <w:rFonts w:asciiTheme="majorHAnsi" w:hAnsiTheme="majorHAnsi"/>
        </w:rPr>
        <w:t>la</w:t>
      </w:r>
      <w:r w:rsidR="001F0DF7">
        <w:rPr>
          <w:rFonts w:asciiTheme="majorHAnsi" w:hAnsiTheme="majorHAnsi" w:cs="Trebuchet MS"/>
          <w:b/>
          <w:iCs/>
          <w:smallCaps/>
          <w:szCs w:val="20"/>
        </w:rPr>
        <w:t xml:space="preserve"> </w:t>
      </w:r>
      <w:r w:rsidR="001F0DF7" w:rsidRPr="001F0DF7">
        <w:rPr>
          <w:rStyle w:val="BLOCKBOLD"/>
          <w:rFonts w:asciiTheme="majorHAnsi" w:hAnsiTheme="majorHAnsi"/>
        </w:rPr>
        <w:t xml:space="preserve">Fornitura card per ricarica </w:t>
      </w:r>
      <w:r w:rsidR="00366075">
        <w:rPr>
          <w:rStyle w:val="BLOCKBOLD"/>
          <w:rFonts w:asciiTheme="majorHAnsi" w:hAnsiTheme="majorHAnsi"/>
        </w:rPr>
        <w:t xml:space="preserve">automobili </w:t>
      </w:r>
      <w:r w:rsidR="001F0DF7" w:rsidRPr="001F0DF7">
        <w:rPr>
          <w:rStyle w:val="BLOCKBOLD"/>
          <w:rFonts w:asciiTheme="majorHAnsi" w:hAnsiTheme="majorHAnsi"/>
        </w:rPr>
        <w:t>elettriche</w:t>
      </w:r>
    </w:p>
    <w:p w:rsidR="00C13CCF" w:rsidRPr="001F0DF7" w:rsidRDefault="00C13CCF" w:rsidP="001A3298">
      <w:pPr>
        <w:spacing w:line="300" w:lineRule="exact"/>
        <w:jc w:val="left"/>
        <w:rPr>
          <w:rFonts w:asciiTheme="majorHAnsi" w:hAnsiTheme="majorHAnsi" w:cs="Trebuchet MS"/>
          <w:b/>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bookmarkStart w:id="0" w:name="_GoBack"/>
      <w:bookmarkEnd w:id="0"/>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_________________________(</w:t>
      </w:r>
      <w:r w:rsidR="00A2687D" w:rsidRPr="00ED047C">
        <w:rPr>
          <w:rFonts w:cs="Trebuchet MS"/>
          <w:color w:val="0000FF"/>
          <w:szCs w:val="20"/>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lastRenderedPageBreak/>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lastRenderedPageBreak/>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w:t>
      </w:r>
      <w:r w:rsidR="00366075">
        <w:rPr>
          <w:rFonts w:asciiTheme="majorHAnsi" w:hAnsiTheme="majorHAnsi"/>
          <w:szCs w:val="20"/>
        </w:rPr>
        <w:t>ità descritte nell’informativa.</w:t>
      </w: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366075" w:rsidRPr="00BF626E" w:rsidRDefault="00366075" w:rsidP="00366075">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szCs w:val="20"/>
        </w:rPr>
      </w:pP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366075" w:rsidRDefault="00366075" w:rsidP="001A3298">
      <w:pPr>
        <w:pStyle w:val="Paragrafoelenco"/>
        <w:spacing w:line="300" w:lineRule="exact"/>
        <w:ind w:left="425"/>
        <w:jc w:val="center"/>
        <w:rPr>
          <w:rFonts w:asciiTheme="majorHAnsi" w:hAnsiTheme="majorHAnsi"/>
          <w:szCs w:val="20"/>
        </w:rPr>
      </w:pPr>
    </w:p>
    <w:p w:rsidR="00B03E70" w:rsidRPr="00ED47DB" w:rsidRDefault="00B03E70" w:rsidP="001A3298">
      <w:pPr>
        <w:pStyle w:val="Paragrafoelenco"/>
        <w:spacing w:line="300" w:lineRule="exact"/>
        <w:ind w:left="425"/>
        <w:jc w:val="center"/>
        <w:rPr>
          <w:rFonts w:asciiTheme="majorHAnsi" w:hAnsiTheme="majorHAnsi"/>
          <w:szCs w:val="20"/>
        </w:rPr>
      </w:pP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w:t>
      </w:r>
      <w:r w:rsidR="00366075">
        <w:rPr>
          <w:rFonts w:asciiTheme="majorHAnsi" w:hAnsiTheme="majorHAnsi"/>
          <w:szCs w:val="20"/>
        </w:rPr>
        <w:t xml:space="preserve"> veridicità delle dichiarazioni;</w:t>
      </w:r>
    </w:p>
    <w:p w:rsidR="00366075" w:rsidRPr="00ED47DB" w:rsidRDefault="00366075" w:rsidP="00366075">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211BA7" w:rsidRPr="00ED47DB" w:rsidRDefault="00211BA7"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03C" w:rsidRDefault="00D8503C">
      <w:r>
        <w:separator/>
      </w:r>
    </w:p>
  </w:endnote>
  <w:endnote w:type="continuationSeparator" w:id="0">
    <w:p w:rsidR="00D8503C" w:rsidRDefault="00D8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1F0DF7">
      <w:rPr>
        <w:rFonts w:asciiTheme="majorHAnsi" w:hAnsiTheme="majorHAnsi"/>
        <w:b/>
        <w:iCs/>
        <w:color w:val="808080"/>
        <w:sz w:val="16"/>
        <w:szCs w:val="14"/>
      </w:rPr>
      <w:t xml:space="preserve">la Fornitura card per ricarica automobili </w:t>
    </w:r>
    <w:r w:rsidR="001F0DF7" w:rsidRPr="001F0DF7">
      <w:rPr>
        <w:rFonts w:asciiTheme="majorHAnsi" w:hAnsiTheme="majorHAnsi"/>
        <w:b/>
        <w:iCs/>
        <w:color w:val="808080"/>
        <w:sz w:val="16"/>
        <w:szCs w:val="14"/>
      </w:rPr>
      <w:t xml:space="preserve">elettriche </w:t>
    </w:r>
    <w:r>
      <w:rPr>
        <w:rFonts w:asciiTheme="majorHAnsi" w:hAnsiTheme="majorHAnsi"/>
        <w:b/>
        <w:i/>
        <w:color w:val="808080"/>
        <w:sz w:val="16"/>
        <w:szCs w:val="14"/>
      </w:rPr>
      <w:t>affidamento diretto ex art. 36</w:t>
    </w:r>
    <w:r w:rsidR="001F0DF7">
      <w:rPr>
        <w:rFonts w:asciiTheme="majorHAnsi" w:hAnsiTheme="majorHAnsi"/>
        <w:b/>
        <w:i/>
        <w:color w:val="808080"/>
        <w:sz w:val="16"/>
        <w:szCs w:val="14"/>
      </w:rPr>
      <w:t xml:space="preserve"> co. 2 </w:t>
    </w:r>
    <w:proofErr w:type="spellStart"/>
    <w:r w:rsidR="001F0DF7">
      <w:rPr>
        <w:rFonts w:asciiTheme="majorHAnsi" w:hAnsiTheme="majorHAnsi"/>
        <w:b/>
        <w:i/>
        <w:color w:val="808080"/>
        <w:sz w:val="16"/>
        <w:szCs w:val="14"/>
      </w:rPr>
      <w:t>lett</w:t>
    </w:r>
    <w:proofErr w:type="spellEnd"/>
    <w:r w:rsidR="001F0DF7">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A1091">
      <w:rPr>
        <w:rFonts w:asciiTheme="majorHAnsi" w:hAnsiTheme="majorHAnsi"/>
        <w:color w:val="808080"/>
        <w:sz w:val="16"/>
        <w:szCs w:val="14"/>
      </w:rPr>
      <w:t>20/</w:t>
    </w:r>
    <w:r w:rsidR="006B7C82">
      <w:rPr>
        <w:rFonts w:asciiTheme="majorHAnsi" w:hAnsiTheme="majorHAnsi"/>
        <w:color w:val="808080"/>
        <w:sz w:val="16"/>
        <w:szCs w:val="14"/>
      </w:rPr>
      <w:t>1</w:t>
    </w:r>
    <w:r w:rsidR="00EA1091">
      <w:rPr>
        <w:rFonts w:asciiTheme="majorHAnsi" w:hAnsiTheme="majorHAnsi"/>
        <w:color w:val="808080"/>
        <w:sz w:val="16"/>
        <w:szCs w:val="14"/>
      </w:rPr>
      <w:t>2/2021</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11BA7">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03C" w:rsidRDefault="00D8503C">
      <w:r>
        <w:separator/>
      </w:r>
    </w:p>
  </w:footnote>
  <w:footnote w:type="continuationSeparator" w:id="0">
    <w:p w:rsidR="00D8503C" w:rsidRDefault="00D8503C">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DF7" w:rsidRDefault="001F0D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D7B"/>
    <w:rsid w:val="001D6EF9"/>
    <w:rsid w:val="001D7452"/>
    <w:rsid w:val="001F0DF7"/>
    <w:rsid w:val="001F3A62"/>
    <w:rsid w:val="001F3F01"/>
    <w:rsid w:val="001F43FE"/>
    <w:rsid w:val="001F4EC4"/>
    <w:rsid w:val="001F6A79"/>
    <w:rsid w:val="00201864"/>
    <w:rsid w:val="00210F15"/>
    <w:rsid w:val="00211BA7"/>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66075"/>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C51FC"/>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1091"/>
    <w:rsid w:val="00EA2ED9"/>
    <w:rsid w:val="00EA60BE"/>
    <w:rsid w:val="00EB4E3F"/>
    <w:rsid w:val="00EB606D"/>
    <w:rsid w:val="00EB67DE"/>
    <w:rsid w:val="00EB7E88"/>
    <w:rsid w:val="00EC4F4F"/>
    <w:rsid w:val="00ED047C"/>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45F7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774C3-CD52-4750-8EF1-563C9DA2E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4800</Words>
  <Characters>28484</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33218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2022-06-23T09:05:00Z</dcterms:modified>
</cp:coreProperties>
</file>