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F10" w:rsidRPr="00ED47DB" w:rsidRDefault="00AB2F10" w:rsidP="001A3298">
      <w:pPr>
        <w:spacing w:line="300" w:lineRule="exact"/>
        <w:jc w:val="left"/>
        <w:rPr>
          <w:rFonts w:asciiTheme="majorHAnsi" w:hAnsiTheme="majorHAnsi"/>
          <w:caps/>
          <w:kern w:val="32"/>
          <w:szCs w:val="20"/>
        </w:rPr>
      </w:pPr>
      <w:bookmarkStart w:id="0" w:name="_GoBack"/>
      <w:bookmarkEnd w:id="0"/>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8B7536">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8B7536">
        <w:rPr>
          <w:rFonts w:asciiTheme="majorHAnsi" w:hAnsiTheme="majorHAnsi" w:cs="Trebuchet MS"/>
          <w:b/>
          <w:iCs/>
          <w:smallCaps/>
          <w:szCs w:val="20"/>
        </w:rPr>
        <w:t>AFFITTO SPAZI</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D47DB">
        <w:rPr>
          <w:i/>
          <w:sz w:val="18"/>
          <w:szCs w:val="18"/>
        </w:rPr>
        <w:lastRenderedPageBreak/>
        <w:t>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Default="00CF145B" w:rsidP="001A3298">
      <w:pPr>
        <w:pStyle w:val="Paragrafoelenco"/>
        <w:spacing w:before="40" w:afterLines="40" w:after="96" w:line="300" w:lineRule="exact"/>
        <w:ind w:left="425"/>
        <w:jc w:val="center"/>
        <w:rPr>
          <w:rFonts w:asciiTheme="majorHAnsi" w:hAnsiTheme="majorHAnsi"/>
          <w:szCs w:val="20"/>
        </w:rPr>
      </w:pP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lett.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lett.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t>non si è reso</w:t>
      </w:r>
      <w:r w:rsidRPr="00CF145B">
        <w:t xml:space="preserve"> colpevole delle fattispecie di cui all’art. 80 co. 5 lett.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lastRenderedPageBreak/>
        <w:t>si è reso</w:t>
      </w:r>
      <w:r w:rsidRPr="00CF145B">
        <w:t xml:space="preserve"> colpevole delle fattispecie di cui all’art. 80 co. 5 lett.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lett.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lett.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t>non si è reso colpevole delle fattispecie di cui all’art. 80 co. 5 lett.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si è reso colpevole delle fattispecie di cui all’art. 80 co. 5 lett. c ter) del Codice                             □</w:t>
      </w:r>
    </w:p>
    <w:p w:rsidR="00CF145B" w:rsidRPr="00CF145B" w:rsidRDefault="00CF145B" w:rsidP="00CF145B">
      <w:pPr>
        <w:ind w:left="360"/>
      </w:pPr>
      <w:r w:rsidRPr="00CF145B">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 xml:space="preserve">(es. ha risarcito interamente il danno, si </w:t>
      </w:r>
      <w:r w:rsidRPr="00CF145B">
        <w:rPr>
          <w:i/>
          <w:iCs/>
        </w:rPr>
        <w:lastRenderedPageBreak/>
        <w:t>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Art. 80, co.5, lett.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lett.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8"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9"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Default="002D0C59" w:rsidP="001A3298">
      <w:pPr>
        <w:pStyle w:val="Paragrafoelenco"/>
        <w:spacing w:line="300" w:lineRule="exact"/>
        <w:ind w:left="425"/>
        <w:jc w:val="center"/>
      </w:pPr>
      <w:r w:rsidRPr="00ED47DB">
        <w:t>***</w:t>
      </w:r>
    </w:p>
    <w:p w:rsidR="00B77FAE" w:rsidRPr="00ED47DB" w:rsidRDefault="00B77FAE" w:rsidP="00B77FAE">
      <w:pPr>
        <w:pStyle w:val="Paragrafoelenco"/>
        <w:numPr>
          <w:ilvl w:val="0"/>
          <w:numId w:val="25"/>
        </w:numPr>
        <w:spacing w:line="300" w:lineRule="exact"/>
        <w:ind w:left="425" w:hanging="425"/>
      </w:pPr>
      <w:r w:rsidRPr="00ED47DB">
        <w:t xml:space="preserve">L’operatore economico </w:t>
      </w:r>
      <w:r w:rsidRPr="00ED47DB">
        <w:rPr>
          <w:b/>
        </w:rPr>
        <w:t>non 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 </w:t>
      </w:r>
      <w:r w:rsidRPr="00ED47DB">
        <w:tab/>
      </w:r>
      <w:r w:rsidRPr="00ED47DB">
        <w:tab/>
      </w:r>
      <w:r w:rsidRPr="00ED47DB">
        <w:tab/>
      </w:r>
      <w:r w:rsidRPr="00ED47DB">
        <w:tab/>
      </w:r>
      <w:r w:rsidRPr="00ED47DB">
        <w:tab/>
      </w:r>
      <w:r w:rsidRPr="00ED47DB">
        <w:tab/>
      </w:r>
      <w:r>
        <w:tab/>
      </w:r>
      <w:r>
        <w:tab/>
      </w:r>
      <w:r>
        <w:tab/>
      </w:r>
      <w:r>
        <w:tab/>
      </w:r>
      <w:r>
        <w:tab/>
      </w:r>
      <w:r>
        <w:tab/>
      </w:r>
      <w:r w:rsidRPr="00ED47DB">
        <w:tab/>
      </w:r>
      <w:r w:rsidRPr="00ED47DB">
        <w:rPr>
          <w:sz w:val="52"/>
          <w:szCs w:val="52"/>
        </w:rPr>
        <w:t>□</w:t>
      </w:r>
    </w:p>
    <w:p w:rsidR="00B77FAE" w:rsidRPr="00ED47DB" w:rsidRDefault="00B77FAE" w:rsidP="00B77FAE">
      <w:pPr>
        <w:pStyle w:val="Paragrafoelenco"/>
        <w:spacing w:line="300" w:lineRule="exact"/>
        <w:ind w:left="425"/>
      </w:pPr>
      <w:r w:rsidRPr="00ED47DB">
        <w:rPr>
          <w:b/>
          <w:i/>
        </w:rPr>
        <w:t>Oppure</w:t>
      </w:r>
      <w:r w:rsidRPr="00ED47DB">
        <w:t xml:space="preserve"> </w:t>
      </w:r>
    </w:p>
    <w:p w:rsidR="00B77FAE" w:rsidRPr="00ED47DB" w:rsidRDefault="00B77FAE" w:rsidP="00B77FAE">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Pr="00ED47DB">
        <w:tab/>
      </w:r>
      <w:r w:rsidRPr="00ED47DB">
        <w:tab/>
      </w:r>
      <w:r w:rsidRPr="00ED47DB">
        <w:rPr>
          <w:sz w:val="52"/>
          <w:szCs w:val="52"/>
        </w:rPr>
        <w:t>□</w:t>
      </w:r>
    </w:p>
    <w:p w:rsidR="00B77FAE" w:rsidRPr="00ED47DB" w:rsidRDefault="00B77FAE" w:rsidP="00B77FAE">
      <w:pPr>
        <w:spacing w:line="300" w:lineRule="exact"/>
        <w:jc w:val="center"/>
      </w:pPr>
      <w:r w:rsidRPr="00ED47DB">
        <w:t>***</w:t>
      </w:r>
    </w:p>
    <w:p w:rsidR="00B77FAE" w:rsidRPr="00ED47DB" w:rsidRDefault="00B77FAE" w:rsidP="001A3298">
      <w:pPr>
        <w:pStyle w:val="Paragrafoelenco"/>
        <w:spacing w:line="300" w:lineRule="exact"/>
        <w:ind w:left="425"/>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w:t>
      </w:r>
      <w:r w:rsidRPr="00ED47DB">
        <w:rPr>
          <w:rFonts w:asciiTheme="majorHAnsi" w:hAnsiTheme="majorHAnsi"/>
          <w:szCs w:val="20"/>
        </w:rPr>
        <w:lastRenderedPageBreak/>
        <w:t xml:space="preserve">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Allegato 1 - Dichiarazione necessaria resa anche ai sensi degli artt. 46 e 47 del d.p.r. 445/2000 per</w:t>
    </w:r>
    <w:r w:rsidRPr="00B77FAE">
      <w:rPr>
        <w:rFonts w:asciiTheme="majorHAnsi" w:hAnsiTheme="majorHAnsi"/>
        <w:color w:val="808080"/>
        <w:sz w:val="16"/>
        <w:szCs w:val="14"/>
      </w:rPr>
      <w:t xml:space="preserve"> affidamento diretto ex art. 36 co. 2 lett. a) D.lgs. 50/2016 </w:t>
    </w:r>
    <w:r w:rsidR="008B7536" w:rsidRPr="00B77FAE">
      <w:rPr>
        <w:rFonts w:asciiTheme="majorHAnsi" w:hAnsiTheme="majorHAnsi"/>
        <w:color w:val="808080"/>
        <w:sz w:val="16"/>
        <w:szCs w:val="14"/>
      </w:rPr>
      <w:t>per affitto spazi</w:t>
    </w:r>
    <w:r w:rsidRPr="00B77FAE">
      <w:rPr>
        <w:rFonts w:asciiTheme="majorHAnsi" w:hAnsiTheme="majorHAns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8B7536">
      <w:rPr>
        <w:rFonts w:asciiTheme="majorHAnsi" w:hAnsiTheme="majorHAnsi"/>
        <w:color w:val="808080"/>
        <w:sz w:val="16"/>
        <w:szCs w:val="14"/>
      </w:rPr>
      <w:t>public</w:t>
    </w:r>
    <w:r w:rsidR="008B7536"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E1ADF">
      <w:rPr>
        <w:rFonts w:asciiTheme="majorHAnsi" w:hAnsiTheme="majorHAnsi"/>
        <w:color w:val="808080"/>
        <w:sz w:val="16"/>
        <w:szCs w:val="14"/>
      </w:rPr>
      <w:t>1_10_2018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77FAE">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B7536"/>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77FAE"/>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DE63A1"/>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6B6B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0251D-E1E1-4614-A994-E3C93C62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4846</Words>
  <Characters>27628</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32410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2019-10-21T13:25:00Z</dcterms:modified>
</cp:coreProperties>
</file>