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D22AE5">
        <w:rPr>
          <w:rFonts w:ascii="Calibri" w:hAnsi="Calibri" w:cstheme="minorHAnsi"/>
          <w:sz w:val="18"/>
          <w:szCs w:val="18"/>
        </w:rPr>
        <w:t>(</w:t>
      </w:r>
      <w:r w:rsidR="006204D3" w:rsidRPr="00D22AE5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D22AE5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D22AE5">
        <w:rPr>
          <w:rFonts w:ascii="Calibri" w:hAnsi="Calibri" w:cstheme="minorHAnsi"/>
          <w:sz w:val="18"/>
          <w:szCs w:val="18"/>
        </w:rPr>
        <w:t>C</w:t>
      </w:r>
      <w:r w:rsidR="009802C4" w:rsidRPr="00D22AE5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98715D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98715D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98715D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98715D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8715D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8715D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98715D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8715D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98715D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98715D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8715D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8" w:name="_GoBack"/>
      <w:bookmarkEnd w:id="18"/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15D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</w:t>
    </w:r>
    <w:r w:rsidR="00FD10CA">
      <w:rPr>
        <w:sz w:val="18"/>
        <w:szCs w:val="18"/>
      </w:rPr>
      <w:t>public</w:t>
    </w:r>
  </w:p>
  <w:p w:rsidR="00D22AE5" w:rsidRDefault="00D22AE5" w:rsidP="00067201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D22AE5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 xml:space="preserve">i </w:t>
    </w:r>
    <w:r w:rsidRPr="00D22AE5">
      <w:rPr>
        <w:rFonts w:ascii="Calibri" w:hAnsi="Calibri"/>
        <w:kern w:val="2"/>
        <w:sz w:val="18"/>
        <w:szCs w:val="18"/>
      </w:rPr>
      <w:t>N. 1 Sessione di esame “</w:t>
    </w:r>
    <w:proofErr w:type="spellStart"/>
    <w:r w:rsidRPr="00D22AE5">
      <w:rPr>
        <w:rFonts w:ascii="Calibri" w:hAnsi="Calibri"/>
        <w:kern w:val="2"/>
        <w:sz w:val="18"/>
        <w:szCs w:val="18"/>
      </w:rPr>
      <w:t>Certified</w:t>
    </w:r>
    <w:proofErr w:type="spellEnd"/>
    <w:r w:rsidRPr="00D22AE5">
      <w:rPr>
        <w:rFonts w:ascii="Calibri" w:hAnsi="Calibri"/>
        <w:kern w:val="2"/>
        <w:sz w:val="18"/>
        <w:szCs w:val="18"/>
      </w:rPr>
      <w:t xml:space="preserve"> </w:t>
    </w:r>
    <w:proofErr w:type="spellStart"/>
    <w:r w:rsidRPr="00D22AE5">
      <w:rPr>
        <w:rFonts w:ascii="Calibri" w:hAnsi="Calibri"/>
        <w:kern w:val="2"/>
        <w:sz w:val="18"/>
        <w:szCs w:val="18"/>
      </w:rPr>
      <w:t>Function</w:t>
    </w:r>
    <w:proofErr w:type="spellEnd"/>
    <w:r w:rsidRPr="00D22AE5">
      <w:rPr>
        <w:rFonts w:ascii="Calibri" w:hAnsi="Calibri"/>
        <w:kern w:val="2"/>
        <w:sz w:val="18"/>
        <w:szCs w:val="18"/>
      </w:rPr>
      <w:t xml:space="preserve"> Point </w:t>
    </w:r>
    <w:proofErr w:type="spellStart"/>
    <w:r w:rsidRPr="00D22AE5">
      <w:rPr>
        <w:rFonts w:ascii="Calibri" w:hAnsi="Calibri"/>
        <w:kern w:val="2"/>
        <w:sz w:val="18"/>
        <w:szCs w:val="18"/>
      </w:rPr>
      <w:t>Specialist</w:t>
    </w:r>
    <w:proofErr w:type="spellEnd"/>
    <w:r w:rsidRPr="00D22AE5">
      <w:rPr>
        <w:rFonts w:ascii="Calibri" w:hAnsi="Calibri"/>
        <w:kern w:val="2"/>
        <w:sz w:val="18"/>
        <w:szCs w:val="18"/>
      </w:rPr>
      <w:t xml:space="preserve"> (CFPS) + N.1 quota di partecipazione al 3° Evento Metrico del GUFPI-ISMA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8715D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2AE5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6D171-018F-4EA2-88FA-7CDBED71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2018-10-26T12:51:00Z</dcterms:modified>
</cp:coreProperties>
</file>