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(</w:t>
      </w:r>
      <w:r w:rsidR="006204D3">
        <w:rPr>
          <w:rFonts w:ascii="Calibri" w:hAnsi="Calibri" w:cstheme="minorHAnsi"/>
          <w:sz w:val="18"/>
          <w:szCs w:val="18"/>
          <w:highlight w:val="yellow"/>
        </w:rPr>
        <w:t xml:space="preserve">VERIFICARE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 xml:space="preserve">clausola risolutiva nel </w:t>
      </w:r>
      <w:r w:rsidR="00B17BD0" w:rsidRPr="00817DC6">
        <w:rPr>
          <w:rFonts w:ascii="Calibri" w:hAnsi="Calibri" w:cstheme="minorHAnsi"/>
          <w:sz w:val="18"/>
          <w:szCs w:val="18"/>
          <w:highlight w:val="yellow"/>
        </w:rPr>
        <w:t>C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2247E8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2247E8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2247E8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2247E8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2247E8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2247E8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2247E8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2247E8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2247E8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2247E8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2247E8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2247E8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2247E8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2247E8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2247E8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2247E8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2247E8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2247E8">
        <w:rPr>
          <w:rFonts w:ascii="Calibri" w:hAnsi="Calibri" w:cstheme="minorHAnsi"/>
          <w:sz w:val="18"/>
          <w:szCs w:val="18"/>
        </w:rPr>
        <w:t xml:space="preserve"> (nel caso in cui il Titolar</w:t>
      </w:r>
      <w:bookmarkStart w:id="18" w:name="_GoBack"/>
      <w:bookmarkEnd w:id="18"/>
      <w:r w:rsidR="0049780E" w:rsidRPr="00D722C1">
        <w:rPr>
          <w:rFonts w:ascii="Calibri" w:hAnsi="Calibri" w:cstheme="minorHAnsi"/>
          <w:sz w:val="18"/>
          <w:szCs w:val="18"/>
        </w:rPr>
        <w:t>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7E8">
          <w:rPr>
            <w:noProof/>
          </w:rPr>
          <w:t>9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proofErr w:type="spellStart"/>
    <w:r>
      <w:rPr>
        <w:sz w:val="18"/>
        <w:szCs w:val="18"/>
      </w:rPr>
      <w:t>Confidential</w:t>
    </w:r>
    <w:proofErr w:type="spellEnd"/>
    <w:r w:rsidR="00FD10CA">
      <w:rPr>
        <w:sz w:val="18"/>
        <w:szCs w:val="18"/>
      </w:rPr>
      <w:t>/</w:t>
    </w:r>
    <w:proofErr w:type="spellStart"/>
    <w:r w:rsidR="00FD10CA">
      <w:rPr>
        <w:sz w:val="18"/>
        <w:szCs w:val="18"/>
      </w:rPr>
      <w:t>internal</w:t>
    </w:r>
    <w:proofErr w:type="spellEnd"/>
    <w:r w:rsidR="00FD10CA">
      <w:rPr>
        <w:sz w:val="18"/>
        <w:szCs w:val="18"/>
      </w:rPr>
      <w:t>/public</w:t>
    </w:r>
  </w:p>
  <w:p w:rsidR="00113852" w:rsidRDefault="002247E8" w:rsidP="00067201">
    <w:pPr>
      <w:pStyle w:val="Pidipagina"/>
      <w:jc w:val="both"/>
      <w:rPr>
        <w:sz w:val="18"/>
        <w:szCs w:val="18"/>
      </w:rPr>
    </w:pPr>
    <w:r w:rsidRPr="002247E8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>, per la fornitura d</w:t>
    </w:r>
    <w:r w:rsidR="00113852">
      <w:rPr>
        <w:rFonts w:ascii="Calibri" w:hAnsi="Calibri"/>
        <w:kern w:val="2"/>
        <w:sz w:val="18"/>
        <w:szCs w:val="18"/>
      </w:rPr>
      <w:t xml:space="preserve">i </w:t>
    </w:r>
    <w:r>
      <w:rPr>
        <w:rFonts w:ascii="Calibri" w:hAnsi="Calibri"/>
        <w:kern w:val="2"/>
        <w:sz w:val="18"/>
        <w:szCs w:val="18"/>
      </w:rPr>
      <w:t xml:space="preserve">un </w:t>
    </w:r>
    <w:r w:rsidRPr="002247E8">
      <w:rPr>
        <w:rFonts w:ascii="Calibri" w:hAnsi="Calibri"/>
        <w:kern w:val="2"/>
        <w:sz w:val="18"/>
        <w:szCs w:val="18"/>
      </w:rPr>
      <w:t>Percorso formativo specifico ufficiale “BMC Software”</w:t>
    </w:r>
    <w:r>
      <w:rPr>
        <w:rFonts w:ascii="Calibri" w:hAnsi="Calibri"/>
        <w:kern w:val="2"/>
        <w:sz w:val="18"/>
        <w:szCs w:val="18"/>
      </w:rPr>
      <w:t>.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247E8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7485B-1021-4D3D-9038-6593630C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5377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5</cp:revision>
  <cp:lastPrinted>2018-06-25T13:06:00Z</cp:lastPrinted>
  <dcterms:created xsi:type="dcterms:W3CDTF">2018-06-25T16:14:00Z</dcterms:created>
  <dcterms:modified xsi:type="dcterms:W3CDTF">2018-08-08T12:30:00Z</dcterms:modified>
</cp:coreProperties>
</file>