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81" w:rsidRDefault="00155D81" w:rsidP="00155D81">
      <w:pPr>
        <w:spacing w:line="300" w:lineRule="exact"/>
        <w:rPr>
          <w:rFonts w:ascii="Calibri" w:hAnsi="Calibri" w:cs="Calibri"/>
          <w:b/>
          <w:sz w:val="28"/>
          <w:szCs w:val="28"/>
        </w:rPr>
      </w:pPr>
    </w:p>
    <w:p w:rsidR="00155D81" w:rsidRDefault="00155D81" w:rsidP="00155D81">
      <w:pPr>
        <w:spacing w:line="300" w:lineRule="exact"/>
        <w:rPr>
          <w:rFonts w:ascii="Calibri" w:hAnsi="Calibri" w:cs="Calibri"/>
          <w:b/>
          <w:sz w:val="28"/>
          <w:szCs w:val="28"/>
        </w:rPr>
      </w:pPr>
    </w:p>
    <w:p w:rsidR="00155D81" w:rsidRDefault="00155D81" w:rsidP="00155D81">
      <w:pPr>
        <w:spacing w:line="300" w:lineRule="exact"/>
        <w:rPr>
          <w:rFonts w:ascii="Calibri" w:hAnsi="Calibri" w:cs="Calibri"/>
          <w:b/>
          <w:sz w:val="28"/>
          <w:szCs w:val="28"/>
        </w:rPr>
      </w:pPr>
    </w:p>
    <w:p w:rsidR="00155D81" w:rsidRPr="009810A9" w:rsidRDefault="00155D81" w:rsidP="00155D81">
      <w:pPr>
        <w:pStyle w:val="Titolocopertina"/>
        <w:rPr>
          <w:rFonts w:ascii="Calibri" w:hAnsi="Calibri"/>
          <w:b/>
          <w:sz w:val="20"/>
          <w:szCs w:val="20"/>
        </w:rPr>
      </w:pPr>
      <w:r w:rsidRPr="00877903">
        <w:rPr>
          <w:rFonts w:ascii="Calibri" w:hAnsi="Calibri"/>
          <w:b/>
          <w:sz w:val="20"/>
          <w:szCs w:val="20"/>
        </w:rPr>
        <w:t xml:space="preserve">ALLEGATO </w:t>
      </w:r>
      <w:r>
        <w:rPr>
          <w:rFonts w:ascii="Calibri" w:hAnsi="Calibri"/>
          <w:b/>
          <w:sz w:val="20"/>
          <w:szCs w:val="20"/>
        </w:rPr>
        <w:t>13</w:t>
      </w:r>
      <w:r w:rsidRPr="00877903">
        <w:rPr>
          <w:rFonts w:ascii="Calibri" w:hAnsi="Calibri"/>
          <w:b/>
          <w:sz w:val="20"/>
          <w:szCs w:val="20"/>
        </w:rPr>
        <w:t xml:space="preserve"> – </w:t>
      </w:r>
      <w:r>
        <w:rPr>
          <w:rFonts w:ascii="Calibri" w:hAnsi="Calibri"/>
          <w:b/>
          <w:sz w:val="20"/>
          <w:szCs w:val="20"/>
        </w:rPr>
        <w:t>riferimenti documentali</w:t>
      </w:r>
    </w:p>
    <w:p w:rsidR="00155D81" w:rsidRPr="009810A9" w:rsidRDefault="00155D81" w:rsidP="00155D81">
      <w:pPr>
        <w:pStyle w:val="Titolocopertina"/>
        <w:rPr>
          <w:rFonts w:ascii="Calibri" w:hAnsi="Calibri"/>
          <w:b/>
          <w:sz w:val="20"/>
          <w:szCs w:val="20"/>
        </w:rPr>
      </w:pPr>
    </w:p>
    <w:p w:rsidR="00155D81" w:rsidRDefault="00155D81" w:rsidP="00155D81">
      <w:pPr>
        <w:pStyle w:val="Titolocopertina"/>
        <w:rPr>
          <w:rFonts w:ascii="Calibri" w:hAnsi="Calibri"/>
          <w:b/>
          <w:sz w:val="20"/>
          <w:szCs w:val="20"/>
        </w:rPr>
      </w:pPr>
      <w:r w:rsidRPr="0004466E">
        <w:rPr>
          <w:rFonts w:ascii="Calibri" w:hAnsi="Calibri"/>
          <w:b/>
          <w:sz w:val="20"/>
          <w:szCs w:val="20"/>
        </w:rPr>
        <w:t xml:space="preserve">GARA A PROCEDURA APERTA PER L’AFFIDAMENTO DELLA FORNITURA IN PAY PER USE DI TOMOGRAFI COMPUTERIZZATI (TC) E TOMOGRAFI A RISONANZA MAGNETICA (RM), </w:t>
      </w:r>
      <w:r>
        <w:rPr>
          <w:rFonts w:ascii="Calibri" w:hAnsi="Calibri"/>
          <w:b/>
          <w:sz w:val="20"/>
          <w:szCs w:val="20"/>
        </w:rPr>
        <w:t xml:space="preserve">SERVIZI CONNESSI, dispositivi E SERVIZI accessori </w:t>
      </w:r>
      <w:r w:rsidRPr="0004466E">
        <w:rPr>
          <w:rFonts w:ascii="Calibri" w:hAnsi="Calibri"/>
          <w:b/>
          <w:sz w:val="20"/>
          <w:szCs w:val="20"/>
        </w:rPr>
        <w:t>PER LE PUBBLICHE AMMINISTRAZIONI AI SENSI DELL’ART. 26 LEGGE N. 488/1999 E S.M.I. E DELL’ART. 58 LEGGE N. 388/2000</w:t>
      </w:r>
      <w:r w:rsidRPr="009810A9">
        <w:rPr>
          <w:rFonts w:ascii="Calibri" w:hAnsi="Calibri"/>
          <w:b/>
          <w:sz w:val="20"/>
          <w:szCs w:val="20"/>
        </w:rPr>
        <w:t xml:space="preserve">  </w:t>
      </w:r>
      <w:r>
        <w:rPr>
          <w:rFonts w:ascii="Calibri" w:hAnsi="Calibri"/>
          <w:b/>
          <w:sz w:val="20"/>
          <w:szCs w:val="20"/>
        </w:rPr>
        <w:t xml:space="preserve">- </w:t>
      </w:r>
      <w:r w:rsidRPr="009810A9">
        <w:rPr>
          <w:rFonts w:ascii="Calibri" w:hAnsi="Calibri"/>
          <w:b/>
          <w:sz w:val="20"/>
          <w:szCs w:val="20"/>
        </w:rPr>
        <w:t>ID 1</w:t>
      </w:r>
      <w:r>
        <w:rPr>
          <w:rFonts w:ascii="Calibri" w:hAnsi="Calibri"/>
          <w:b/>
          <w:sz w:val="20"/>
          <w:szCs w:val="20"/>
        </w:rPr>
        <w:t>930</w:t>
      </w:r>
    </w:p>
    <w:p w:rsidR="00155D81" w:rsidRDefault="00155D81" w:rsidP="00155D81">
      <w:pPr>
        <w:pStyle w:val="Titolocopertina"/>
        <w:rPr>
          <w:rFonts w:ascii="Calibri" w:hAnsi="Calibri"/>
          <w:b/>
          <w:sz w:val="20"/>
          <w:szCs w:val="20"/>
        </w:rPr>
      </w:pPr>
    </w:p>
    <w:p w:rsidR="00AE072D" w:rsidRPr="00862847" w:rsidRDefault="00AE072D" w:rsidP="00AE072D">
      <w:pPr>
        <w:pStyle w:val="Titolocopertina"/>
        <w:rPr>
          <w:rFonts w:ascii="Calibri" w:hAnsi="Calibri"/>
        </w:rPr>
      </w:pPr>
    </w:p>
    <w:p w:rsidR="001C1E27" w:rsidRPr="00862847" w:rsidRDefault="008411D5" w:rsidP="00FB3CD3">
      <w:pPr>
        <w:pStyle w:val="Titolocopertina"/>
        <w:jc w:val="left"/>
        <w:rPr>
          <w:rFonts w:ascii="Calibri" w:hAnsi="Calibri"/>
        </w:rPr>
      </w:pPr>
      <w:r w:rsidRPr="00862847">
        <w:rPr>
          <w:rFonts w:ascii="Calibri" w:hAnsi="Calibri"/>
        </w:rPr>
        <w:br w:type="page"/>
      </w:r>
    </w:p>
    <w:p w:rsidR="008D6A69" w:rsidRPr="00862847" w:rsidRDefault="008D6A69" w:rsidP="00CA183D">
      <w:pPr>
        <w:spacing w:line="300" w:lineRule="exact"/>
        <w:ind w:right="17"/>
        <w:jc w:val="center"/>
        <w:rPr>
          <w:rFonts w:ascii="Calibri" w:hAnsi="Calibri"/>
          <w:b/>
          <w:bCs/>
          <w:i/>
          <w:iCs/>
          <w:sz w:val="20"/>
          <w:szCs w:val="20"/>
        </w:rPr>
      </w:pPr>
    </w:p>
    <w:p w:rsidR="00155D81" w:rsidRDefault="00155D81" w:rsidP="00155D81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bookmarkStart w:id="0" w:name="_Toc487109239"/>
      <w:r w:rsidRPr="00F039B9">
        <w:rPr>
          <w:rFonts w:ascii="Calibri" w:hAnsi="Calibri"/>
          <w:sz w:val="20"/>
        </w:rPr>
        <w:t xml:space="preserve">Lotto </w:t>
      </w:r>
      <w:r>
        <w:rPr>
          <w:rFonts w:ascii="Calibri" w:hAnsi="Calibri"/>
          <w:sz w:val="20"/>
        </w:rPr>
        <w:t xml:space="preserve">1 -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MINIME</w:t>
      </w:r>
    </w:p>
    <w:p w:rsidR="00155D81" w:rsidRDefault="00155D81" w:rsidP="00155D81">
      <w:pPr>
        <w:rPr>
          <w:rFonts w:ascii="Calibri" w:hAnsi="Calibri"/>
          <w:b/>
          <w:sz w:val="20"/>
        </w:rPr>
      </w:pPr>
      <w:r w:rsidRPr="00155D81">
        <w:rPr>
          <w:rFonts w:ascii="Calibri" w:hAnsi="Calibri"/>
          <w:b/>
          <w:sz w:val="20"/>
          <w:szCs w:val="20"/>
        </w:rPr>
        <w:t xml:space="preserve">Tabella 1 Lotto 1 – “Caratteristiche tecniche minime” del Tomografo Computerizzato (TC) </w:t>
      </w:r>
      <w:r w:rsidRPr="00155D81">
        <w:rPr>
          <w:rFonts w:ascii="Calibri" w:hAnsi="Calibri"/>
          <w:b/>
          <w:sz w:val="20"/>
        </w:rPr>
        <w:t>per applicazioni cardiologiche base</w:t>
      </w:r>
    </w:p>
    <w:p w:rsidR="00155D81" w:rsidRDefault="00155D81" w:rsidP="00155D81">
      <w:pPr>
        <w:rPr>
          <w:rFonts w:ascii="Calibri" w:hAnsi="Calibri"/>
          <w:b/>
          <w:sz w:val="20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2040"/>
        <w:gridCol w:w="2038"/>
      </w:tblGrid>
      <w:tr w:rsidR="00155D81" w:rsidRPr="00155D81" w:rsidTr="00F25017">
        <w:trPr>
          <w:cantSplit/>
          <w:trHeight w:val="20"/>
          <w:tblHeader/>
        </w:trPr>
        <w:tc>
          <w:tcPr>
            <w:tcW w:w="2501" w:type="pct"/>
            <w:shd w:val="clear" w:color="auto" w:fill="002060"/>
            <w:vAlign w:val="center"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DESCRIZIONE CARATTERISTICHE MINIME</w:t>
            </w:r>
          </w:p>
        </w:tc>
        <w:tc>
          <w:tcPr>
            <w:tcW w:w="1250" w:type="pct"/>
            <w:shd w:val="clear" w:color="auto" w:fill="002060"/>
            <w:vAlign w:val="center"/>
          </w:tcPr>
          <w:p w:rsidR="00155D81" w:rsidRPr="00155D81" w:rsidRDefault="00155D81" w:rsidP="00155D81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155D81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Gantry</w:t>
            </w:r>
            <w:proofErr w:type="spellEnd"/>
            <w:r w:rsidRPr="00155D81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:</w:t>
            </w: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55D81">
              <w:rPr>
                <w:rFonts w:asciiTheme="minorHAnsi" w:hAnsiTheme="minorHAnsi"/>
                <w:color w:val="000000"/>
                <w:sz w:val="16"/>
                <w:szCs w:val="16"/>
              </w:rPr>
              <w:t>Diametro del tunnel non inferiore a 70 cm</w:t>
            </w: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55D81">
              <w:rPr>
                <w:rFonts w:asciiTheme="minorHAnsi" w:hAnsiTheme="minorHAnsi"/>
                <w:color w:val="000000"/>
                <w:sz w:val="16"/>
                <w:szCs w:val="16"/>
              </w:rPr>
              <w:t>Inclinazione non inferiore a +/-30° con comando anche dalla consolle</w:t>
            </w: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55D81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Tubo radiogeno:</w:t>
            </w: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Massima dissipazione termica anodica non inferiore a 800.000 HU/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min</w:t>
            </w:r>
            <w:proofErr w:type="spellEnd"/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Raffreddamento dell'anodo non inferiore a 5 MHU</w:t>
            </w:r>
          </w:p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o, in alternativa,</w:t>
            </w:r>
          </w:p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Raffreddamento dell'anodo in bagno d'olio non inferiore a 0,5 MHU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300"/>
        </w:trPr>
        <w:tc>
          <w:tcPr>
            <w:tcW w:w="2501" w:type="pct"/>
            <w:vMerge w:val="restar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Doppia macchia focale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300"/>
        </w:trPr>
        <w:tc>
          <w:tcPr>
            <w:tcW w:w="2501" w:type="pct"/>
            <w:vMerge/>
            <w:vAlign w:val="center"/>
            <w:hideMark/>
          </w:tcPr>
          <w:p w:rsidR="00155D81" w:rsidRPr="001D01D0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D01D0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Generatore:</w:t>
            </w:r>
          </w:p>
        </w:tc>
        <w:tc>
          <w:tcPr>
            <w:tcW w:w="1250" w:type="pct"/>
            <w:shd w:val="clear" w:color="auto" w:fill="002060"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E63988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E63988" w:rsidRPr="001D01D0" w:rsidRDefault="00E63988" w:rsidP="00A41450">
            <w:pPr>
              <w:rPr>
                <w:rFonts w:ascii="Calibri" w:hAnsi="Calibri"/>
                <w:sz w:val="16"/>
                <w:szCs w:val="16"/>
              </w:rPr>
            </w:pPr>
            <w:r w:rsidRPr="001D01D0">
              <w:rPr>
                <w:rFonts w:ascii="Calibri" w:hAnsi="Calibri"/>
                <w:sz w:val="16"/>
                <w:szCs w:val="16"/>
              </w:rPr>
              <w:t>Potenza massima selezionabile sul protocollo clinico non inferiore a 48 kW</w:t>
            </w:r>
          </w:p>
        </w:tc>
        <w:tc>
          <w:tcPr>
            <w:tcW w:w="1250" w:type="pct"/>
          </w:tcPr>
          <w:p w:rsidR="00E63988" w:rsidRPr="001D01D0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E63988" w:rsidRPr="00155D81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3988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E63988" w:rsidRPr="001D01D0" w:rsidRDefault="00E63988" w:rsidP="00A41450">
            <w:pPr>
              <w:rPr>
                <w:rFonts w:ascii="Calibri" w:hAnsi="Calibri"/>
                <w:sz w:val="16"/>
                <w:szCs w:val="16"/>
              </w:rPr>
            </w:pPr>
            <w:r w:rsidRPr="001D01D0">
              <w:rPr>
                <w:rFonts w:ascii="Calibri" w:hAnsi="Calibri"/>
                <w:sz w:val="16"/>
                <w:szCs w:val="16"/>
              </w:rPr>
              <w:t xml:space="preserve">Tensione minima selezionabile </w:t>
            </w:r>
            <w:r w:rsidRPr="001D01D0">
              <w:rPr>
                <w:rFonts w:ascii="Calibri" w:hAnsi="Calibri"/>
                <w:bCs/>
                <w:sz w:val="16"/>
                <w:szCs w:val="16"/>
              </w:rPr>
              <w:t>sul protocollo clinico</w:t>
            </w:r>
            <w:r w:rsidRPr="001D01D0">
              <w:rPr>
                <w:rFonts w:ascii="Calibri" w:hAnsi="Calibri"/>
                <w:sz w:val="16"/>
                <w:szCs w:val="16"/>
              </w:rPr>
              <w:t xml:space="preserve"> non superiore a 80 KV</w:t>
            </w:r>
          </w:p>
        </w:tc>
        <w:tc>
          <w:tcPr>
            <w:tcW w:w="1250" w:type="pct"/>
          </w:tcPr>
          <w:p w:rsidR="00E63988" w:rsidRPr="001D01D0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E63988" w:rsidRPr="00155D81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3988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E63988" w:rsidRPr="001D01D0" w:rsidRDefault="00E63988" w:rsidP="00A41450">
            <w:pPr>
              <w:rPr>
                <w:rFonts w:ascii="Calibri" w:hAnsi="Calibri"/>
                <w:sz w:val="16"/>
                <w:szCs w:val="16"/>
              </w:rPr>
            </w:pPr>
            <w:r w:rsidRPr="001D01D0">
              <w:rPr>
                <w:rFonts w:ascii="Calibri" w:hAnsi="Calibri"/>
                <w:sz w:val="16"/>
                <w:szCs w:val="16"/>
              </w:rPr>
              <w:t xml:space="preserve">Tensione massima selezionabile </w:t>
            </w:r>
            <w:r w:rsidRPr="001D01D0">
              <w:rPr>
                <w:rFonts w:ascii="Calibri" w:hAnsi="Calibri"/>
                <w:bCs/>
                <w:sz w:val="16"/>
                <w:szCs w:val="16"/>
              </w:rPr>
              <w:t>sul protocollo clinico</w:t>
            </w:r>
            <w:r w:rsidRPr="001D01D0">
              <w:rPr>
                <w:rFonts w:ascii="Calibri" w:hAnsi="Calibri"/>
                <w:sz w:val="16"/>
                <w:szCs w:val="16"/>
              </w:rPr>
              <w:t xml:space="preserve"> non inferiore a 130 </w:t>
            </w:r>
            <w:proofErr w:type="spellStart"/>
            <w:r w:rsidRPr="001D01D0">
              <w:rPr>
                <w:rFonts w:ascii="Calibri" w:hAnsi="Calibri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1250" w:type="pct"/>
          </w:tcPr>
          <w:p w:rsidR="00E63988" w:rsidRPr="001D01D0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E63988" w:rsidRPr="00155D81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63988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E63988" w:rsidRPr="001D01D0" w:rsidRDefault="00E63988" w:rsidP="00A41450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1D01D0">
              <w:rPr>
                <w:rFonts w:ascii="Calibri" w:hAnsi="Calibri"/>
                <w:color w:val="000000"/>
                <w:sz w:val="16"/>
                <w:szCs w:val="16"/>
              </w:rPr>
              <w:t xml:space="preserve">Numero di valori di tensione selezionabili </w:t>
            </w:r>
            <w:r w:rsidRPr="001D01D0">
              <w:rPr>
                <w:rFonts w:ascii="Calibri" w:hAnsi="Calibri"/>
                <w:bCs/>
                <w:sz w:val="16"/>
                <w:szCs w:val="16"/>
              </w:rPr>
              <w:t>sul protocollo clinico</w:t>
            </w:r>
            <w:r w:rsidRPr="001D01D0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1D01D0">
              <w:rPr>
                <w:rFonts w:ascii="Calibri" w:hAnsi="Calibri"/>
                <w:color w:val="000000"/>
                <w:sz w:val="16"/>
                <w:szCs w:val="16"/>
              </w:rPr>
              <w:t>≥ di 4</w:t>
            </w:r>
          </w:p>
        </w:tc>
        <w:tc>
          <w:tcPr>
            <w:tcW w:w="1250" w:type="pct"/>
          </w:tcPr>
          <w:p w:rsidR="00E63988" w:rsidRPr="001D01D0" w:rsidRDefault="00E63988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E63988" w:rsidRPr="00155D81" w:rsidRDefault="00E63988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E63988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E63988" w:rsidRPr="001D01D0" w:rsidRDefault="00E63988" w:rsidP="00A41450">
            <w:pPr>
              <w:rPr>
                <w:rFonts w:ascii="Calibri" w:hAnsi="Calibri"/>
                <w:sz w:val="16"/>
                <w:szCs w:val="16"/>
              </w:rPr>
            </w:pPr>
            <w:r w:rsidRPr="001D01D0">
              <w:rPr>
                <w:rFonts w:ascii="Calibri" w:hAnsi="Calibri"/>
                <w:sz w:val="16"/>
                <w:szCs w:val="16"/>
              </w:rPr>
              <w:t xml:space="preserve">Corrente massima selezionabile </w:t>
            </w:r>
            <w:r w:rsidRPr="001D01D0">
              <w:rPr>
                <w:rFonts w:ascii="Calibri" w:hAnsi="Calibri"/>
                <w:bCs/>
                <w:sz w:val="16"/>
                <w:szCs w:val="16"/>
              </w:rPr>
              <w:t>sul protocollo clinico</w:t>
            </w:r>
            <w:r w:rsidRPr="001D01D0">
              <w:rPr>
                <w:rFonts w:ascii="Calibri" w:hAnsi="Calibri"/>
                <w:sz w:val="16"/>
                <w:szCs w:val="16"/>
              </w:rPr>
              <w:t xml:space="preserve"> non inferiore a 400 </w:t>
            </w:r>
            <w:proofErr w:type="spellStart"/>
            <w:r w:rsidRPr="001D01D0">
              <w:rPr>
                <w:rFonts w:ascii="Calibri" w:hAnsi="Calibri"/>
                <w:sz w:val="16"/>
                <w:szCs w:val="16"/>
              </w:rPr>
              <w:t>mA</w:t>
            </w:r>
            <w:proofErr w:type="spellEnd"/>
          </w:p>
        </w:tc>
        <w:tc>
          <w:tcPr>
            <w:tcW w:w="1250" w:type="pct"/>
          </w:tcPr>
          <w:p w:rsidR="00E63988" w:rsidRPr="001D01D0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E63988" w:rsidRPr="00155D81" w:rsidRDefault="00E63988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Detettori</w:t>
            </w:r>
            <w:proofErr w:type="spellEnd"/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:</w:t>
            </w:r>
          </w:p>
        </w:tc>
        <w:tc>
          <w:tcPr>
            <w:tcW w:w="1250" w:type="pct"/>
            <w:shd w:val="clear" w:color="auto" w:fill="002060"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 xml:space="preserve">Dimensione </w:t>
            </w:r>
            <w:r w:rsidR="0046373F" w:rsidRPr="001D01D0">
              <w:rPr>
                <w:rFonts w:asciiTheme="minorHAnsi" w:hAnsiTheme="minorHAnsi"/>
                <w:sz w:val="16"/>
                <w:szCs w:val="16"/>
              </w:rPr>
              <w:t xml:space="preserve">fisica </w:t>
            </w:r>
            <w:r w:rsidRPr="001D01D0">
              <w:rPr>
                <w:rFonts w:asciiTheme="minorHAnsi" w:hAnsiTheme="minorHAnsi"/>
                <w:sz w:val="16"/>
                <w:szCs w:val="16"/>
              </w:rPr>
              <w:t xml:space="preserve">del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</w:rPr>
              <w:t>detettore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</w:rPr>
              <w:t xml:space="preserve"> lungo l'asse Z misurata all'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</w:rPr>
              <w:t>isocentro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</w:rPr>
              <w:t xml:space="preserve"> ≥ 19 mm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Collimazione di strato non superiore a 0,625 mm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Numero di elementi per fila/riga di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detettori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nel piano XY minimo 672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Tavolo porta paziente:</w:t>
            </w:r>
          </w:p>
        </w:tc>
        <w:tc>
          <w:tcPr>
            <w:tcW w:w="1250" w:type="pct"/>
            <w:shd w:val="clear" w:color="auto" w:fill="002060"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Modalità di movimentazione manuale e automatica con comandi all’interno e all’esterno della sala TC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E63988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="Calibri" w:hAnsi="Calibri"/>
                <w:color w:val="000000"/>
                <w:sz w:val="16"/>
                <w:szCs w:val="16"/>
              </w:rPr>
              <w:t>Massima lunghezza scansionabile ai raggi X del tavolo, utile all’acquisizione del dato clinico, in scansione elicoidale non inferiore a 170 cm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Incremento minimo nell’escursione longitudinale non superiore a 0,5 mm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Minima altezza da terra non superiore a 60 cm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Carico massimo, garantendo la massima accuratezza di posizionamento durante la scansione e il movimento verticale del tavolo in fase di posizionamento del paziente ≥ 200 kg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Possibilità per le PPAA di ordinare, in alternativa al tavolo offerto, un tavolo di dimensioni diverse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Scannogramma</w:t>
            </w:r>
            <w:proofErr w:type="spellEnd"/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:</w:t>
            </w:r>
          </w:p>
        </w:tc>
        <w:tc>
          <w:tcPr>
            <w:tcW w:w="1250" w:type="pct"/>
            <w:shd w:val="clear" w:color="auto" w:fill="002060"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Dimensione del campo di scansione (SFOV) non inferiore a 50 cm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Lunghezza della scout (massimo FOV longitudinale) </w:t>
            </w:r>
            <w:r w:rsidR="00F0641A" w:rsidRPr="001D01D0">
              <w:rPr>
                <w:rFonts w:ascii="Calibri" w:hAnsi="Calibri" w:cs="Trebuchet MS"/>
                <w:b/>
                <w:sz w:val="16"/>
                <w:szCs w:val="16"/>
              </w:rPr>
              <w:t>, utile all’acquisizione del dato clinico,</w:t>
            </w:r>
            <w:r w:rsidR="00F0641A"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non</w:t>
            </w:r>
            <w:r w:rsidR="00F0641A"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</w:t>
            </w: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inferiore a 165 cm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Scansione assiale, elicoidale e dinamica:</w:t>
            </w:r>
          </w:p>
        </w:tc>
        <w:tc>
          <w:tcPr>
            <w:tcW w:w="1250" w:type="pct"/>
            <w:shd w:val="clear" w:color="auto" w:fill="002060"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 xml:space="preserve">Massimo FOV (Field of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</w:rPr>
              <w:t>View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</w:rPr>
              <w:t>) di acquisizione non inferiore a 50 cm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bookmarkStart w:id="1" w:name="_GoBack"/>
            <w:bookmarkEnd w:id="1"/>
            <w:r w:rsidRPr="001D01D0">
              <w:rPr>
                <w:rFonts w:asciiTheme="minorHAnsi" w:hAnsiTheme="minorHAnsi"/>
                <w:sz w:val="16"/>
                <w:szCs w:val="16"/>
              </w:rPr>
              <w:lastRenderedPageBreak/>
              <w:t>Tempo di rotazione minimo, per tutti i protocolli clinici, non superiore a 0,50 secondi</w:t>
            </w:r>
          </w:p>
        </w:tc>
        <w:tc>
          <w:tcPr>
            <w:tcW w:w="1250" w:type="pct"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Matrice di ricostruzione non inferiore a 512x512 pixel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Tempo massimo di scansione continua in scansione elicoidale e dinamica non inferiore ai 100 secondi</w:t>
            </w:r>
          </w:p>
        </w:tc>
        <w:tc>
          <w:tcPr>
            <w:tcW w:w="1250" w:type="pct"/>
            <w:shd w:val="clear" w:color="000000" w:fill="FFFFFF"/>
          </w:tcPr>
          <w:p w:rsidR="00155D81" w:rsidRPr="001D01D0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Consolle di comando ed elaborazione:</w:t>
            </w:r>
          </w:p>
        </w:tc>
        <w:tc>
          <w:tcPr>
            <w:tcW w:w="1250" w:type="pct"/>
            <w:shd w:val="clear" w:color="auto" w:fill="002060"/>
          </w:tcPr>
          <w:p w:rsidR="00155D81" w:rsidRPr="001D01D0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F25017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F25017" w:rsidRPr="001D01D0" w:rsidRDefault="00F25017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Un tavolo idoneo a supportare la consolle di comando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:rsidR="00F25017" w:rsidRPr="001D01D0" w:rsidRDefault="00F25017" w:rsidP="00F25017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49" w:type="pct"/>
            <w:shd w:val="clear" w:color="000000" w:fill="FFFFFF"/>
            <w:vAlign w:val="center"/>
          </w:tcPr>
          <w:p w:rsidR="00F25017" w:rsidRPr="0036719A" w:rsidRDefault="00F25017" w:rsidP="0036719A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</w:p>
        </w:tc>
      </w:tr>
      <w:tr w:rsidR="00F25017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F25017" w:rsidRPr="001D01D0" w:rsidRDefault="00F25017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Una tastiera alfa-numerica e un mouse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:rsidR="00F25017" w:rsidRPr="001D01D0" w:rsidRDefault="00F25017" w:rsidP="00F25017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49" w:type="pct"/>
            <w:shd w:val="clear" w:color="000000" w:fill="FFFFFF"/>
            <w:vAlign w:val="center"/>
          </w:tcPr>
          <w:p w:rsidR="00F25017" w:rsidRPr="0036719A" w:rsidRDefault="00F25017" w:rsidP="00F82FEA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</w:p>
        </w:tc>
      </w:tr>
      <w:tr w:rsidR="0036719A" w:rsidRPr="00155D81" w:rsidTr="00F25017">
        <w:trPr>
          <w:cantSplit/>
          <w:trHeight w:val="300"/>
        </w:trPr>
        <w:tc>
          <w:tcPr>
            <w:tcW w:w="2501" w:type="pct"/>
            <w:vMerge w:val="restar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Un monitor, a schermo piatto, a colori, ad alta risoluzione e di dimensioni non inferiori ai 19”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300"/>
        </w:trPr>
        <w:tc>
          <w:tcPr>
            <w:tcW w:w="2501" w:type="pct"/>
            <w:vMerge/>
            <w:vAlign w:val="center"/>
            <w:hideMark/>
          </w:tcPr>
          <w:p w:rsidR="0036719A" w:rsidRPr="001D01D0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</w:tcPr>
          <w:p w:rsidR="0036719A" w:rsidRPr="001D01D0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36719A" w:rsidRPr="00155D81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Memoria RAM non inferiore a 8 GB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Capacità disco per la memorizzazione delle immagini non compresse non inferiore a 250 GB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Capacità disco per la memorizzazione dei dati grezzi non inferiore a 500 GB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Possibilità di esportazione su CD e/o DVD di immagini in formato DICOM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Possibilità di selezione automatica da elenco predefinito di protocolli di scansione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Possibilità di impostare dei protocolli di elaborazione associati al tipo di esame e personalizzati in base all’operatore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Programmazione di un intero esame con possibilità di ulteriori interventi correttivi da parte dell'operatore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Controllo remoto del tavolo dalla consolle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EB1BBC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Conformità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allo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standard DICOM 3 con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fornitura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delle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seguenti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classi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  <w:lang w:val="en-US"/>
              </w:rPr>
              <w:t>: Storage (Send/Receive), Query/Retrieve, Print, Get Worklist (HIS /RIS), MPPS, Storage Commitment, Viewer on CD/DVD, Structured Report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Sistema di comunicazione verbale-bidirezionale tra sala consolle e sala esame, dotato di sistema auto voice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Workstation di post-elaborazione:</w:t>
            </w:r>
          </w:p>
        </w:tc>
        <w:tc>
          <w:tcPr>
            <w:tcW w:w="1250" w:type="pct"/>
            <w:shd w:val="clear" w:color="auto" w:fill="002060"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36719A" w:rsidRPr="00155D81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F25017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F25017" w:rsidRPr="001D01D0" w:rsidRDefault="00F25017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Un tavolo idoneo a supportare la workstation di post-elaborazione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:rsidR="00F25017" w:rsidRPr="001D01D0" w:rsidRDefault="00F25017" w:rsidP="00F25017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49" w:type="pct"/>
            <w:shd w:val="clear" w:color="000000" w:fill="FFFFFF"/>
            <w:vAlign w:val="center"/>
          </w:tcPr>
          <w:p w:rsidR="00F25017" w:rsidRPr="0036719A" w:rsidRDefault="00F25017" w:rsidP="0036719A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</w:p>
        </w:tc>
      </w:tr>
      <w:tr w:rsidR="00F25017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F25017" w:rsidRPr="001D01D0" w:rsidRDefault="00F25017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Una tastiera alfa-numerica e un mouse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:rsidR="00F25017" w:rsidRPr="001D01D0" w:rsidRDefault="00F25017" w:rsidP="00F25017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50" w:type="pct"/>
            <w:shd w:val="clear" w:color="000000" w:fill="FFFFFF"/>
            <w:vAlign w:val="center"/>
          </w:tcPr>
          <w:p w:rsidR="00F25017" w:rsidRPr="0036719A" w:rsidRDefault="00F25017" w:rsidP="0036719A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highlight w:val="cyan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Consolle completamente indipendente ed installabile in sede separata dalla consolle di comando ed elaborazione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Conformità allo standard DICOM 3 con fornitura delle seguenti classi: Storage (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Send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/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Receive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), Query/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Retrieve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Print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, Storage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Commitment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, Viewer on CD/DVD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Memoria RAM non inferiore a 16 GB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Capacità del disco rigido non inferiore ai 500 GB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Archivio a lungo termine su CD e/o DVD per il salvataggio di immagini in formato DICOM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Due monitor, a schermo piatto, a colori, ad alta risoluzione e di dimensioni non inferiori ai 19”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noWrap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Software di base richiesti sia nella consolle di comando che nella workstation di post-elaborazione:</w:t>
            </w:r>
          </w:p>
        </w:tc>
        <w:tc>
          <w:tcPr>
            <w:tcW w:w="1250" w:type="pct"/>
            <w:shd w:val="clear" w:color="auto" w:fill="002060"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36719A" w:rsidRPr="00155D81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Archiviazione automatica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Stampa automatica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Ricostruzioni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multiplanari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in tempo reale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3D (ricostruzioni tridimensionali)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VR (Volume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Rendering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MPR (ricostruzioni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multiplanari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e curvilinee)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Angio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CT con algoritmo MIP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noWrap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Software di base richiesti nella consolle di comando:</w:t>
            </w:r>
          </w:p>
        </w:tc>
        <w:tc>
          <w:tcPr>
            <w:tcW w:w="1250" w:type="pct"/>
            <w:shd w:val="clear" w:color="auto" w:fill="002060"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36719A" w:rsidRPr="00155D81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t>Algoritmo iterativo di ultima generazione, basato su modellizzazioni di parti del processo di acquisizione e con elaborazioni nel campo dei dati grezzi e nel campo delle immagini. L'algoritmo deve essere operante sia in assiale che in elicoidale</w:t>
            </w:r>
          </w:p>
        </w:tc>
        <w:tc>
          <w:tcPr>
            <w:tcW w:w="1250" w:type="pct"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36719A" w:rsidRPr="00155D81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Presenza del dose </w:t>
            </w:r>
            <w:proofErr w:type="spellStart"/>
            <w:r w:rsidRPr="001D01D0">
              <w:rPr>
                <w:rFonts w:asciiTheme="minorHAnsi" w:hAnsiTheme="minorHAnsi"/>
                <w:sz w:val="16"/>
                <w:szCs w:val="16"/>
              </w:rPr>
              <w:t>check</w:t>
            </w:r>
            <w:proofErr w:type="spellEnd"/>
            <w:r w:rsidRPr="001D01D0">
              <w:rPr>
                <w:rFonts w:asciiTheme="minorHAnsi" w:hAnsiTheme="minorHAnsi"/>
                <w:sz w:val="16"/>
                <w:szCs w:val="16"/>
              </w:rPr>
              <w:t xml:space="preserve"> secondo gli standard NEMA XR 25-2010</w:t>
            </w:r>
          </w:p>
        </w:tc>
        <w:tc>
          <w:tcPr>
            <w:tcW w:w="1250" w:type="pct"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</w:tcPr>
          <w:p w:rsidR="0036719A" w:rsidRPr="00155D81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Software che permetta la visualizzazione della dose CTDI, prima di eseguire l’esame, correlata al protocollo selezionato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Software di riduzione della dose, con modulazione della corrente lungo gli assi x, y e z in scansione assiale ed elicoidale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  <w:r w:rsidRPr="001D01D0">
              <w:rPr>
                <w:rFonts w:ascii="Calibri" w:hAnsi="Calibri"/>
                <w:sz w:val="16"/>
                <w:szCs w:val="16"/>
              </w:rPr>
              <w:t xml:space="preserve">Visualizzazione del transito del mezzo di contrasto e relativa scansione automatica in relazione alle </w:t>
            </w:r>
            <w:proofErr w:type="spellStart"/>
            <w:r w:rsidRPr="001D01D0">
              <w:rPr>
                <w:rFonts w:ascii="Calibri" w:hAnsi="Calibri"/>
                <w:sz w:val="16"/>
                <w:szCs w:val="16"/>
              </w:rPr>
              <w:t>Hounsfield</w:t>
            </w:r>
            <w:proofErr w:type="spellEnd"/>
            <w:r w:rsidRPr="001D01D0">
              <w:rPr>
                <w:rFonts w:ascii="Calibri" w:hAnsi="Calibri"/>
                <w:sz w:val="16"/>
                <w:szCs w:val="16"/>
              </w:rPr>
              <w:t xml:space="preserve"> Unit (HU) senza intervento da parte dell’operatore per l’erogazione dei raggi X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auto" w:fill="002060"/>
            <w:noWrap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Software richiesti nella workstation di post-elaborazione:</w:t>
            </w:r>
          </w:p>
        </w:tc>
        <w:tc>
          <w:tcPr>
            <w:tcW w:w="1250" w:type="pct"/>
            <w:shd w:val="clear" w:color="auto" w:fill="002060"/>
          </w:tcPr>
          <w:p w:rsidR="0036719A" w:rsidRPr="001D01D0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49" w:type="pct"/>
            <w:shd w:val="clear" w:color="auto" w:fill="002060"/>
          </w:tcPr>
          <w:p w:rsidR="0036719A" w:rsidRPr="00155D81" w:rsidRDefault="0036719A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Software per lo studio automatico dei vasi che comprenda il  calcolo del livello di stenosi e la possibilità di misurazione di un trombo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Software di rimozione automatica dell'osso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Software dedicato per la perfusione cerebrale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Software dedicato per la perfusione </w:t>
            </w:r>
            <w:proofErr w:type="spellStart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total</w:t>
            </w:r>
            <w:proofErr w:type="spellEnd"/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body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36719A" w:rsidRPr="00155D81" w:rsidTr="00F25017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36719A" w:rsidRPr="001D01D0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1D01D0">
              <w:rPr>
                <w:rFonts w:asciiTheme="minorHAnsi" w:hAnsiTheme="minorHAnsi"/>
                <w:color w:val="000000"/>
                <w:sz w:val="16"/>
                <w:szCs w:val="16"/>
              </w:rPr>
              <w:t>Software oncologico che garantisca una valutazione delle lesioni sulla base del volume e dei criteri internazionali riconosciuti, quali ad es. RECIST, WHO, etc.</w:t>
            </w:r>
          </w:p>
        </w:tc>
        <w:tc>
          <w:tcPr>
            <w:tcW w:w="1250" w:type="pct"/>
            <w:shd w:val="clear" w:color="000000" w:fill="FFFFFF"/>
          </w:tcPr>
          <w:p w:rsidR="0036719A" w:rsidRPr="001D01D0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  <w:shd w:val="clear" w:color="000000" w:fill="FFFFFF"/>
          </w:tcPr>
          <w:p w:rsidR="0036719A" w:rsidRPr="00155D81" w:rsidRDefault="0036719A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155D81" w:rsidRDefault="00155D81" w:rsidP="00155D81">
      <w:pPr>
        <w:rPr>
          <w:rFonts w:ascii="Calibri" w:hAnsi="Calibri"/>
          <w:b/>
          <w:sz w:val="20"/>
          <w:szCs w:val="20"/>
        </w:rPr>
      </w:pPr>
    </w:p>
    <w:p w:rsidR="00155D81" w:rsidRDefault="00155D81" w:rsidP="00155D81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sz w:val="19"/>
          <w:szCs w:val="19"/>
        </w:rPr>
        <w:t>La Pubblica Amministrazione che ordina l’apparecchiatura in configurazione minima potrà ordinare i</w:t>
      </w:r>
    </w:p>
    <w:p w:rsidR="00155D81" w:rsidRDefault="00155D81" w:rsidP="00155D81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sz w:val="19"/>
          <w:szCs w:val="19"/>
        </w:rPr>
        <w:t>dispositivi accessori di seguito indicati:</w:t>
      </w:r>
    </w:p>
    <w:p w:rsidR="00155D81" w:rsidRDefault="00155D81" w:rsidP="00155D81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</w:p>
    <w:p w:rsidR="00155D81" w:rsidRPr="00155D81" w:rsidRDefault="00155D81" w:rsidP="00155D81">
      <w:pPr>
        <w:rPr>
          <w:rFonts w:ascii="Calibri" w:hAnsi="Calibri"/>
          <w:b/>
          <w:sz w:val="20"/>
          <w:szCs w:val="20"/>
        </w:rPr>
      </w:pPr>
      <w:r w:rsidRPr="00155D81">
        <w:rPr>
          <w:rFonts w:ascii="Calibri" w:hAnsi="Calibri"/>
          <w:b/>
          <w:sz w:val="20"/>
          <w:szCs w:val="20"/>
        </w:rPr>
        <w:t xml:space="preserve">Tabella 2 Lotto 1 – “Caratteristiche tecniche minime” dei Dispositivi accessori del Tomografo Computerizzato </w:t>
      </w:r>
      <w:r w:rsidRPr="000F5E5C">
        <w:rPr>
          <w:rFonts w:ascii="Calibri" w:hAnsi="Calibri"/>
          <w:b/>
          <w:sz w:val="20"/>
        </w:rPr>
        <w:t>per applicazioni cardiologiche base</w:t>
      </w:r>
      <w:r w:rsidRPr="00155D81">
        <w:rPr>
          <w:rFonts w:ascii="Calibri" w:hAnsi="Calibri"/>
          <w:sz w:val="20"/>
        </w:rPr>
        <w:t>:</w:t>
      </w:r>
    </w:p>
    <w:p w:rsidR="00155D81" w:rsidRDefault="00155D81">
      <w:pPr>
        <w:jc w:val="left"/>
        <w:rPr>
          <w:rFonts w:ascii="Calibri" w:hAnsi="Calibri"/>
          <w:sz w:val="20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2038"/>
        <w:gridCol w:w="2040"/>
      </w:tblGrid>
      <w:tr w:rsidR="00155D81" w:rsidRPr="00155D81" w:rsidTr="00A41450">
        <w:trPr>
          <w:cantSplit/>
          <w:trHeight w:val="20"/>
          <w:tblHeader/>
        </w:trPr>
        <w:tc>
          <w:tcPr>
            <w:tcW w:w="2501" w:type="pct"/>
            <w:shd w:val="clear" w:color="auto" w:fill="002060"/>
            <w:vAlign w:val="center"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DESCRIZIONE CARATTERISTICHE MINIME</w:t>
            </w:r>
          </w:p>
        </w:tc>
        <w:tc>
          <w:tcPr>
            <w:tcW w:w="1249" w:type="pct"/>
            <w:shd w:val="clear" w:color="auto" w:fill="002060"/>
            <w:vAlign w:val="center"/>
          </w:tcPr>
          <w:p w:rsidR="00155D81" w:rsidRPr="00155D81" w:rsidRDefault="00155D81" w:rsidP="00155D81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155D81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  <w:hideMark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155D81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DISPOSITIVI ACCESSORI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0F5E5C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0F5E5C" w:rsidRPr="00155D81" w:rsidRDefault="000F5E5C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517E1">
              <w:rPr>
                <w:rFonts w:ascii="Calibri" w:hAnsi="Calibri"/>
                <w:color w:val="000000"/>
                <w:sz w:val="18"/>
                <w:szCs w:val="18"/>
              </w:rPr>
              <w:t>Hardware e software dedicati all’esecuzione di esami coronarici e cardiologici</w:t>
            </w:r>
          </w:p>
        </w:tc>
        <w:tc>
          <w:tcPr>
            <w:tcW w:w="1249" w:type="pct"/>
            <w:shd w:val="clear" w:color="000000" w:fill="FFFFFF"/>
          </w:tcPr>
          <w:p w:rsidR="000F5E5C" w:rsidRPr="00155D81" w:rsidRDefault="000F5E5C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0F5E5C" w:rsidRPr="00155D81" w:rsidRDefault="000F5E5C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55D81" w:rsidRDefault="00155D81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155D81">
              <w:rPr>
                <w:rFonts w:ascii="Calibri" w:hAnsi="Calibri"/>
                <w:color w:val="000000"/>
                <w:sz w:val="16"/>
                <w:szCs w:val="16"/>
              </w:rPr>
              <w:t>Software Dentale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  <w:hideMark/>
          </w:tcPr>
          <w:p w:rsidR="00155D81" w:rsidRPr="00155D81" w:rsidRDefault="00155D81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155D81">
              <w:rPr>
                <w:rFonts w:ascii="Calibri" w:hAnsi="Calibri"/>
                <w:color w:val="000000"/>
                <w:sz w:val="16"/>
                <w:szCs w:val="16"/>
              </w:rPr>
              <w:t>Software sulla workstation di post elaborazione per il rilevamento e la valutazione dei noduli polmonari completo di modulo CAD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E028B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CE028B" w:rsidRPr="00155D81" w:rsidRDefault="00CE028B" w:rsidP="00A41450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155D81">
              <w:rPr>
                <w:rFonts w:ascii="Calibri" w:hAnsi="Calibri"/>
                <w:color w:val="000000"/>
                <w:sz w:val="16"/>
                <w:szCs w:val="16"/>
              </w:rPr>
              <w:t>Software sulla workstation di post elaborazione di fusione immagini almeno PET, TC e RM per la workstation di elaborazione</w:t>
            </w:r>
          </w:p>
        </w:tc>
        <w:tc>
          <w:tcPr>
            <w:tcW w:w="1249" w:type="pct"/>
            <w:shd w:val="clear" w:color="000000" w:fill="FFFFFF"/>
          </w:tcPr>
          <w:p w:rsidR="00CE028B" w:rsidRPr="00155D81" w:rsidRDefault="00CE028B" w:rsidP="00A41450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CE028B" w:rsidRPr="00155D81" w:rsidRDefault="00CE028B" w:rsidP="00A41450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E028B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CE028B" w:rsidRPr="00155D81" w:rsidRDefault="00CE028B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155D81">
              <w:rPr>
                <w:rFonts w:ascii="Calibri" w:hAnsi="Calibri"/>
                <w:color w:val="000000"/>
                <w:sz w:val="16"/>
                <w:szCs w:val="16"/>
              </w:rPr>
              <w:t>Software sulla workstation di post elaborazione di navigazione dedicato allo studio del colon completo di modulo CAD per l'identificazione e segnalazione automatica del polipo e possibilità di rimozione elettronica delle feci marcate con un'acquisizione prona e un'acquisizione supina</w:t>
            </w:r>
          </w:p>
        </w:tc>
        <w:tc>
          <w:tcPr>
            <w:tcW w:w="1249" w:type="pct"/>
            <w:shd w:val="clear" w:color="000000" w:fill="FFFFFF"/>
          </w:tcPr>
          <w:p w:rsidR="00CE028B" w:rsidRPr="00155D81" w:rsidRDefault="00CE028B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CE028B" w:rsidRPr="00155D81" w:rsidRDefault="00CE028B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E028B" w:rsidRPr="00155D81" w:rsidTr="00155D81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CE028B" w:rsidRPr="00155D81" w:rsidRDefault="00CE028B" w:rsidP="00155D81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155D81">
              <w:rPr>
                <w:rFonts w:ascii="Calibri" w:hAnsi="Calibri"/>
                <w:color w:val="000000"/>
                <w:sz w:val="16"/>
                <w:szCs w:val="16"/>
              </w:rPr>
              <w:t>Software sulla consolle di acquisizione per la rimozione dell'artefatto metallico in unica scansione</w:t>
            </w:r>
          </w:p>
        </w:tc>
        <w:tc>
          <w:tcPr>
            <w:tcW w:w="1249" w:type="pct"/>
          </w:tcPr>
          <w:p w:rsidR="00CE028B" w:rsidRPr="00155D81" w:rsidRDefault="00CE028B" w:rsidP="00155D8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50" w:type="pct"/>
          </w:tcPr>
          <w:p w:rsidR="00CE028B" w:rsidRPr="00155D81" w:rsidRDefault="00CE028B" w:rsidP="00155D81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CE028B" w:rsidRPr="00155D81" w:rsidTr="00155D81">
        <w:trPr>
          <w:cantSplit/>
          <w:trHeight w:val="300"/>
        </w:trPr>
        <w:tc>
          <w:tcPr>
            <w:tcW w:w="2501" w:type="pct"/>
            <w:vMerge w:val="restart"/>
            <w:shd w:val="clear" w:color="000000" w:fill="FFFFFF"/>
            <w:vAlign w:val="center"/>
            <w:hideMark/>
          </w:tcPr>
          <w:p w:rsidR="00CE028B" w:rsidRPr="00155D81" w:rsidRDefault="00CE028B" w:rsidP="00155D81">
            <w:pPr>
              <w:rPr>
                <w:rFonts w:ascii="Calibri" w:hAnsi="Calibri"/>
                <w:sz w:val="16"/>
                <w:szCs w:val="16"/>
              </w:rPr>
            </w:pPr>
            <w:r w:rsidRPr="00155D81">
              <w:rPr>
                <w:rFonts w:ascii="Calibri" w:hAnsi="Calibri"/>
                <w:sz w:val="16"/>
                <w:szCs w:val="16"/>
              </w:rPr>
              <w:t xml:space="preserve">Iniettore di Mezzo di Contrasto per TC a doppia o tripla via di tipo pensile e relativa consolle di comando con: Possibilità di memorizzare almeno 30 protocolli di iniezione; Scelta di flussi compresa almeno tra  0,5 e 9 ml/sec; </w:t>
            </w:r>
            <w:proofErr w:type="spellStart"/>
            <w:r w:rsidRPr="00155D81">
              <w:rPr>
                <w:rFonts w:ascii="Calibri" w:hAnsi="Calibri"/>
                <w:sz w:val="16"/>
                <w:szCs w:val="16"/>
              </w:rPr>
              <w:t>Alert</w:t>
            </w:r>
            <w:proofErr w:type="spellEnd"/>
            <w:r w:rsidRPr="00155D81">
              <w:rPr>
                <w:rFonts w:ascii="Calibri" w:hAnsi="Calibri"/>
                <w:sz w:val="16"/>
                <w:szCs w:val="16"/>
              </w:rPr>
              <w:t xml:space="preserve"> al raggiungimento della pressione limite</w:t>
            </w:r>
          </w:p>
        </w:tc>
        <w:tc>
          <w:tcPr>
            <w:tcW w:w="1249" w:type="pct"/>
            <w:shd w:val="clear" w:color="000000" w:fill="FFFFFF"/>
          </w:tcPr>
          <w:p w:rsidR="00CE028B" w:rsidRPr="00155D81" w:rsidRDefault="00CE028B" w:rsidP="00155D81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CE028B" w:rsidRPr="00155D81" w:rsidRDefault="00CE028B" w:rsidP="00155D81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E028B" w:rsidRPr="00155D81" w:rsidTr="00155D81">
        <w:trPr>
          <w:cantSplit/>
          <w:trHeight w:val="300"/>
        </w:trPr>
        <w:tc>
          <w:tcPr>
            <w:tcW w:w="2501" w:type="pct"/>
            <w:vMerge/>
            <w:vAlign w:val="center"/>
            <w:hideMark/>
          </w:tcPr>
          <w:p w:rsidR="00CE028B" w:rsidRPr="00155D81" w:rsidRDefault="00CE028B" w:rsidP="00155D81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49" w:type="pct"/>
          </w:tcPr>
          <w:p w:rsidR="00CE028B" w:rsidRPr="00155D81" w:rsidRDefault="00CE028B" w:rsidP="00155D81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</w:tcPr>
          <w:p w:rsidR="00CE028B" w:rsidRPr="00155D81" w:rsidRDefault="00CE028B" w:rsidP="00155D81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E028B" w:rsidRPr="00155D81" w:rsidTr="00155D81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  <w:hideMark/>
          </w:tcPr>
          <w:p w:rsidR="00CE028B" w:rsidRPr="00155D81" w:rsidRDefault="00CE028B" w:rsidP="00155D81">
            <w:pPr>
              <w:rPr>
                <w:rFonts w:ascii="Calibri" w:hAnsi="Calibri"/>
                <w:sz w:val="16"/>
                <w:szCs w:val="16"/>
              </w:rPr>
            </w:pPr>
            <w:r w:rsidRPr="00155D81">
              <w:rPr>
                <w:rFonts w:ascii="Calibri" w:hAnsi="Calibri"/>
                <w:sz w:val="16"/>
                <w:szCs w:val="16"/>
              </w:rPr>
              <w:t xml:space="preserve">Iniettore di Mezzo di Contrasto per TC  a doppia o tripla via e relativa consolle di comando con: Possibilità di memorizzare almeno 30 protocolli di iniezione; Scelta di flussi compresa almeno tra  0,5 e 9 ml/sec; </w:t>
            </w:r>
            <w:proofErr w:type="spellStart"/>
            <w:r w:rsidRPr="00155D81">
              <w:rPr>
                <w:rFonts w:ascii="Calibri" w:hAnsi="Calibri"/>
                <w:sz w:val="16"/>
                <w:szCs w:val="16"/>
              </w:rPr>
              <w:t>Alert</w:t>
            </w:r>
            <w:proofErr w:type="spellEnd"/>
            <w:r w:rsidRPr="00155D81">
              <w:rPr>
                <w:rFonts w:ascii="Calibri" w:hAnsi="Calibri"/>
                <w:sz w:val="16"/>
                <w:szCs w:val="16"/>
              </w:rPr>
              <w:t xml:space="preserve"> al raggiungimento della pressione limite; Carrello con ruote</w:t>
            </w:r>
          </w:p>
        </w:tc>
        <w:tc>
          <w:tcPr>
            <w:tcW w:w="1249" w:type="pct"/>
          </w:tcPr>
          <w:p w:rsidR="00CE028B" w:rsidRPr="00155D81" w:rsidRDefault="00CE028B" w:rsidP="00155D81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50" w:type="pct"/>
          </w:tcPr>
          <w:p w:rsidR="00CE028B" w:rsidRPr="00155D81" w:rsidRDefault="00CE028B" w:rsidP="00155D81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155D81" w:rsidRDefault="00155D81">
      <w:pPr>
        <w:jc w:val="left"/>
        <w:rPr>
          <w:rFonts w:ascii="Calibri" w:hAnsi="Calibri"/>
          <w:sz w:val="20"/>
        </w:rPr>
      </w:pPr>
    </w:p>
    <w:p w:rsidR="00155D81" w:rsidRDefault="00155D81" w:rsidP="00155D81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r w:rsidRPr="00F039B9">
        <w:rPr>
          <w:rFonts w:ascii="Calibri" w:hAnsi="Calibri"/>
          <w:sz w:val="20"/>
        </w:rPr>
        <w:lastRenderedPageBreak/>
        <w:t xml:space="preserve">Lotto </w:t>
      </w:r>
      <w:r>
        <w:rPr>
          <w:rFonts w:ascii="Calibri" w:hAnsi="Calibri"/>
          <w:sz w:val="20"/>
        </w:rPr>
        <w:t xml:space="preserve">1 -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MIGLIORATIVE</w:t>
      </w:r>
    </w:p>
    <w:p w:rsidR="00155D81" w:rsidRDefault="00155D81" w:rsidP="00155D81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>
        <w:rPr>
          <w:rFonts w:ascii="Calibri" w:hAnsi="Calibri"/>
          <w:b/>
          <w:sz w:val="20"/>
          <w:szCs w:val="20"/>
        </w:rPr>
        <w:t xml:space="preserve">3 Lotto 1 </w:t>
      </w:r>
      <w:r w:rsidRPr="00E24861">
        <w:rPr>
          <w:rFonts w:ascii="Calibri" w:hAnsi="Calibri"/>
          <w:b/>
          <w:sz w:val="20"/>
          <w:szCs w:val="20"/>
        </w:rPr>
        <w:t xml:space="preserve">– </w:t>
      </w:r>
      <w:r>
        <w:rPr>
          <w:rFonts w:ascii="Calibri" w:hAnsi="Calibri"/>
          <w:b/>
          <w:sz w:val="20"/>
          <w:szCs w:val="20"/>
        </w:rPr>
        <w:t>“Caratteristiche tecniche migliorative</w:t>
      </w:r>
      <w:r w:rsidRPr="00E24861">
        <w:rPr>
          <w:rFonts w:ascii="Calibri" w:hAnsi="Calibri"/>
          <w:b/>
          <w:sz w:val="20"/>
          <w:szCs w:val="20"/>
        </w:rPr>
        <w:t xml:space="preserve">” del Tomografo </w:t>
      </w:r>
      <w:r w:rsidRPr="00155D81">
        <w:rPr>
          <w:rFonts w:ascii="Calibri" w:hAnsi="Calibri"/>
          <w:b/>
          <w:sz w:val="20"/>
          <w:szCs w:val="20"/>
        </w:rPr>
        <w:t xml:space="preserve">Computerizzato (TC) </w:t>
      </w:r>
      <w:r w:rsidRPr="00155D81">
        <w:rPr>
          <w:rFonts w:ascii="Calibri" w:hAnsi="Calibri"/>
          <w:b/>
          <w:sz w:val="20"/>
        </w:rPr>
        <w:t>per applicazioni cardiologiche base</w:t>
      </w:r>
      <w:r>
        <w:rPr>
          <w:rFonts w:ascii="Calibri" w:hAnsi="Calibri"/>
          <w:b/>
          <w:sz w:val="20"/>
        </w:rPr>
        <w:t>:</w:t>
      </w:r>
    </w:p>
    <w:p w:rsidR="00155D81" w:rsidRDefault="00155D81">
      <w:pPr>
        <w:jc w:val="left"/>
        <w:rPr>
          <w:rFonts w:ascii="Calibri" w:hAnsi="Calibri"/>
          <w:sz w:val="20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2038"/>
        <w:gridCol w:w="2040"/>
      </w:tblGrid>
      <w:tr w:rsidR="00155D81" w:rsidRPr="00155D81" w:rsidTr="00A41450">
        <w:trPr>
          <w:cantSplit/>
          <w:trHeight w:val="20"/>
          <w:tblHeader/>
        </w:trPr>
        <w:tc>
          <w:tcPr>
            <w:tcW w:w="2501" w:type="pct"/>
            <w:shd w:val="clear" w:color="auto" w:fill="002060"/>
            <w:vAlign w:val="center"/>
          </w:tcPr>
          <w:p w:rsidR="00155D81" w:rsidRPr="00F43495" w:rsidRDefault="00155D81" w:rsidP="00F6762F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8"/>
                <w:szCs w:val="18"/>
              </w:rPr>
            </w:pPr>
            <w:r w:rsidRPr="00F43495">
              <w:rPr>
                <w:rFonts w:asciiTheme="minorHAnsi" w:hAnsiTheme="minorHAnsi" w:cs="Trebuchet MS"/>
                <w:b/>
                <w:bCs/>
                <w:sz w:val="18"/>
                <w:szCs w:val="18"/>
              </w:rPr>
              <w:t>DESCRIZIONE CARATTERISTICHE MIGLIORATIVE</w:t>
            </w:r>
          </w:p>
        </w:tc>
        <w:tc>
          <w:tcPr>
            <w:tcW w:w="1249" w:type="pct"/>
            <w:shd w:val="clear" w:color="auto" w:fill="002060"/>
            <w:vAlign w:val="center"/>
          </w:tcPr>
          <w:p w:rsidR="00155D81" w:rsidRPr="00F43495" w:rsidRDefault="00155D81" w:rsidP="00155D81">
            <w:pPr>
              <w:jc w:val="left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F43495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NOME DOCUMENTO (OPPURE NOME FILE)</w:t>
            </w:r>
          </w:p>
        </w:tc>
        <w:tc>
          <w:tcPr>
            <w:tcW w:w="1250" w:type="pct"/>
            <w:shd w:val="clear" w:color="auto" w:fill="002060"/>
            <w:vAlign w:val="center"/>
          </w:tcPr>
          <w:p w:rsidR="00155D81" w:rsidRPr="00F43495" w:rsidRDefault="00155D81" w:rsidP="00155D81">
            <w:pPr>
              <w:jc w:val="left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F43495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RIFERIMENTO PAGINA E/O PARAGRAFO</w:t>
            </w: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55D81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proofErr w:type="spellStart"/>
            <w:r w:rsidRPr="00155D8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Gantry</w:t>
            </w:r>
            <w:proofErr w:type="spellEnd"/>
            <w:r w:rsidRPr="00155D8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155D81" w:rsidRPr="00155D81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Pr="00155D81">
              <w:rPr>
                <w:rFonts w:asciiTheme="minorHAnsi" w:hAnsiTheme="minorHAnsi" w:cs="Trebuchet MS"/>
                <w:sz w:val="16"/>
                <w:szCs w:val="16"/>
              </w:rPr>
              <w:t xml:space="preserve">1 </w:t>
            </w:r>
            <w:r w:rsidR="00155D81" w:rsidRPr="00155D81">
              <w:rPr>
                <w:rFonts w:asciiTheme="minorHAnsi" w:hAnsiTheme="minorHAnsi" w:cs="Trebuchet MS"/>
                <w:sz w:val="16"/>
                <w:szCs w:val="16"/>
              </w:rPr>
              <w:t>- Diametro del tunnel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55D81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155D81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Tubo Radiogeno: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2 - Dimensione nominale minima del fuoco fine secondo IEC 60336/2005</w:t>
            </w:r>
          </w:p>
        </w:tc>
        <w:tc>
          <w:tcPr>
            <w:tcW w:w="1249" w:type="pct"/>
            <w:shd w:val="clear" w:color="auto" w:fill="auto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3 - Potenza massima utile applicabile sul fuoco fine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Generatore: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300"/>
        </w:trPr>
        <w:tc>
          <w:tcPr>
            <w:tcW w:w="2501" w:type="pct"/>
            <w:shd w:val="clear" w:color="000000" w:fill="FFFFFF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jc w:val="lef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4 - </w:t>
            </w:r>
            <w:r w:rsidR="00E63988" w:rsidRPr="001D01D0">
              <w:rPr>
                <w:rFonts w:ascii="Calibri" w:hAnsi="Calibri" w:cs="Trebuchet MS"/>
                <w:b/>
                <w:sz w:val="16"/>
                <w:szCs w:val="16"/>
              </w:rPr>
              <w:t>Differenza tra Tensione massima e tensione minima (selezionabili sul protocollo clinico)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300"/>
        </w:trPr>
        <w:tc>
          <w:tcPr>
            <w:tcW w:w="2501" w:type="pct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5 - Selezione automatica del </w:t>
            </w:r>
            <w:proofErr w:type="spellStart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kV</w:t>
            </w:r>
            <w:proofErr w:type="spellEnd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in base alla tipologia di paziente e di esame (dopo la scout)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jc w:val="left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proofErr w:type="spellStart"/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Detettori</w:t>
            </w:r>
            <w:proofErr w:type="spellEnd"/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jc w:val="lef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6 </w:t>
            </w:r>
            <w:r w:rsidR="00094B67" w:rsidRPr="001D01D0">
              <w:rPr>
                <w:rFonts w:asciiTheme="minorHAnsi" w:hAnsiTheme="minorHAnsi" w:cs="Trebuchet MS"/>
                <w:sz w:val="16"/>
                <w:szCs w:val="16"/>
              </w:rPr>
              <w:t>–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Dimensione</w:t>
            </w:r>
            <w:r w:rsidR="00094B67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fisica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del </w:t>
            </w:r>
            <w:proofErr w:type="spellStart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detettore</w:t>
            </w:r>
            <w:proofErr w:type="spellEnd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lungo l'asse Z misurata all'</w:t>
            </w:r>
            <w:proofErr w:type="spellStart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isocentro</w:t>
            </w:r>
            <w:proofErr w:type="spellEnd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≥ 38 mm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7 - Numero di elementi, ad eccezione degli elementi dedicati esclusivamente alla calibrazione, per fila/riga di </w:t>
            </w:r>
            <w:proofErr w:type="spellStart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detettori</w:t>
            </w:r>
            <w:proofErr w:type="spellEnd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nel piano XY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vAlign w:val="center"/>
          </w:tcPr>
          <w:p w:rsidR="00155D81" w:rsidRPr="001D01D0" w:rsidRDefault="00F8299A" w:rsidP="00AF2CAF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8 - </w:t>
            </w:r>
            <w:r w:rsidR="00AF2CAF" w:rsidRPr="001D01D0">
              <w:rPr>
                <w:rFonts w:ascii="Calibri" w:hAnsi="Calibri" w:cs="Trebuchet MS"/>
                <w:sz w:val="16"/>
                <w:szCs w:val="16"/>
              </w:rPr>
              <w:t>Frequenza di campionamento per singola rotazione, con tempo di rotazione pari a 1 sec.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Tavolo porta paziente: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9 - </w:t>
            </w:r>
            <w:r w:rsidR="00E63988" w:rsidRPr="001D01D0">
              <w:rPr>
                <w:rFonts w:ascii="Calibri" w:hAnsi="Calibri" w:cs="Trebuchet MS"/>
                <w:sz w:val="16"/>
                <w:szCs w:val="16"/>
              </w:rPr>
              <w:t>Massima lunghezza scansionabile ai raggi X del tavolo, utile all’acquisizione del dato clinico, in scansione elicoidale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10 - Carico massimo, garantendo la massima accuratezza di posizionamento durante la scansione e il movimento verticale del tavolo in fase di posizionamento del paziente</w:t>
            </w:r>
          </w:p>
        </w:tc>
        <w:tc>
          <w:tcPr>
            <w:tcW w:w="1249" w:type="pct"/>
            <w:shd w:val="clear" w:color="auto" w:fill="auto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proofErr w:type="spellStart"/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Scannogramma</w:t>
            </w:r>
            <w:proofErr w:type="spellEnd"/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11 - Lunghezza della scout</w:t>
            </w:r>
            <w:r w:rsidR="00B56F94" w:rsidRPr="001D01D0">
              <w:rPr>
                <w:rFonts w:asciiTheme="minorHAnsi" w:hAnsiTheme="minorHAnsi" w:cs="Trebuchet MS"/>
                <w:sz w:val="16"/>
                <w:szCs w:val="16"/>
              </w:rPr>
              <w:t>, utile all’acquisizione del dato clinico</w:t>
            </w:r>
          </w:p>
        </w:tc>
        <w:tc>
          <w:tcPr>
            <w:tcW w:w="1249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50" w:type="pct"/>
          </w:tcPr>
          <w:p w:rsidR="00155D81" w:rsidRPr="00155D81" w:rsidRDefault="00155D81" w:rsidP="00155D8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Scansione assiale, elicoidale e dinamica: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auto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12 - Massimo </w:t>
            </w:r>
            <w:proofErr w:type="spellStart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pitch</w:t>
            </w:r>
            <w:proofErr w:type="spellEnd"/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utilizzabile con algoritmo di correzione dell’artefatto da fascio conico con la massima apertura del collimatore e al massimo FOV</w:t>
            </w:r>
          </w:p>
        </w:tc>
        <w:tc>
          <w:tcPr>
            <w:tcW w:w="1249" w:type="pct"/>
            <w:shd w:val="clear" w:color="auto" w:fill="auto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</w:tcPr>
          <w:p w:rsidR="00155D81" w:rsidRPr="00155D81" w:rsidRDefault="00155D81" w:rsidP="00155D81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D91282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D91282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D91282" w:rsidRPr="001D01D0">
              <w:rPr>
                <w:rFonts w:asciiTheme="minorHAnsi" w:hAnsiTheme="minorHAnsi" w:cs="Trebuchet MS"/>
                <w:sz w:val="16"/>
                <w:szCs w:val="16"/>
              </w:rPr>
              <w:t>13 - Tempo di rotazione minimo, per protocollo cardio, su 360°</w:t>
            </w:r>
          </w:p>
        </w:tc>
        <w:tc>
          <w:tcPr>
            <w:tcW w:w="1249" w:type="pct"/>
            <w:shd w:val="clear" w:color="000000" w:fill="FFFFFF"/>
          </w:tcPr>
          <w:p w:rsidR="00D91282" w:rsidRPr="00155D81" w:rsidRDefault="00D91282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D91282" w:rsidRPr="00155D81" w:rsidRDefault="00D91282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155D81" w:rsidRPr="001D01D0" w:rsidRDefault="00F8299A" w:rsidP="00D91282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1</w:t>
            </w:r>
            <w:r w:rsidR="00D91282" w:rsidRPr="001D01D0">
              <w:rPr>
                <w:rFonts w:asciiTheme="minorHAnsi" w:hAnsiTheme="minorHAnsi" w:cs="Trebuchet MS"/>
                <w:sz w:val="16"/>
                <w:szCs w:val="16"/>
              </w:rPr>
              <w:t>4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- Velocità di ricostruzione per immagini assiali di matrice 512x512, a partire dai dati grezzi, con algoritmo iterativo di ricostruzione delle immagini e al massimo livello di iterazione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lastRenderedPageBreak/>
              <w:t>Consolle di comando ed elaborazione: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155D81" w:rsidRPr="001D01D0" w:rsidRDefault="00F8299A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1</w:t>
            </w:r>
            <w:r w:rsidR="00D91282" w:rsidRPr="001D01D0">
              <w:rPr>
                <w:rFonts w:asciiTheme="minorHAnsi" w:hAnsiTheme="minorHAnsi" w:cs="Trebuchet MS"/>
                <w:sz w:val="16"/>
                <w:szCs w:val="16"/>
              </w:rPr>
              <w:t>5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- Secondo monitor, a schermo piatto, a colori, ad alta risoluzione e di dimensioni non inferiori ai 19”. Il secondo monitor deve consentire anche una visione differente di dati ed immagini rispetto al monitor principale;</w:t>
            </w:r>
          </w:p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In alternativa: Seconda consolle di comando ed elaborazione in aggiunta alla prima e alla workstation di post-elaborazione. La seconda consolle deve avere i medesimi software installati sulla consolle principale di comando ed elaborazione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auto" w:fill="002060"/>
            <w:vAlign w:val="center"/>
          </w:tcPr>
          <w:p w:rsidR="00155D81" w:rsidRPr="001D01D0" w:rsidRDefault="00155D81" w:rsidP="00155D81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b/>
                <w:bCs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b/>
                <w:bCs/>
                <w:sz w:val="16"/>
                <w:szCs w:val="16"/>
              </w:rPr>
              <w:t>Software di base richiesti nella consolle di comando:</w:t>
            </w:r>
          </w:p>
        </w:tc>
        <w:tc>
          <w:tcPr>
            <w:tcW w:w="1249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002060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155D81" w:rsidRPr="001D01D0" w:rsidRDefault="00F8299A" w:rsidP="00D91282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A54BE2" w:rsidRPr="001D01D0">
              <w:rPr>
                <w:rFonts w:asciiTheme="minorHAnsi" w:hAnsiTheme="minorHAnsi" w:cs="Trebuchet MS"/>
                <w:sz w:val="16"/>
                <w:szCs w:val="16"/>
              </w:rPr>
              <w:t>1</w:t>
            </w:r>
            <w:r w:rsidR="00D91282" w:rsidRPr="001D01D0">
              <w:rPr>
                <w:rFonts w:asciiTheme="minorHAnsi" w:hAnsiTheme="minorHAnsi" w:cs="Trebuchet MS"/>
                <w:sz w:val="16"/>
                <w:szCs w:val="16"/>
              </w:rPr>
              <w:t>6</w:t>
            </w:r>
            <w:r w:rsidR="00A54BE2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- Possibilità di selezionare, da parte dell’utente nei protocolli di ricostruzione, diversi livelli/livelli percentuali di riduzione della dose dell’algoritmo iterativo, lasciando invariati tutti gli altri parametri (quali ad esempio il </w:t>
            </w:r>
            <w:proofErr w:type="spellStart"/>
            <w:r w:rsidR="00A54BE2" w:rsidRPr="001D01D0">
              <w:rPr>
                <w:rFonts w:asciiTheme="minorHAnsi" w:hAnsiTheme="minorHAnsi" w:cs="Trebuchet MS"/>
                <w:sz w:val="16"/>
                <w:szCs w:val="16"/>
              </w:rPr>
              <w:t>noise</w:t>
            </w:r>
            <w:proofErr w:type="spellEnd"/>
            <w:r w:rsidR="00A54BE2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</w:t>
            </w:r>
            <w:proofErr w:type="spellStart"/>
            <w:r w:rsidR="00A54BE2" w:rsidRPr="001D01D0">
              <w:rPr>
                <w:rFonts w:asciiTheme="minorHAnsi" w:hAnsiTheme="minorHAnsi" w:cs="Trebuchet MS"/>
                <w:sz w:val="16"/>
                <w:szCs w:val="16"/>
              </w:rPr>
              <w:t>index</w:t>
            </w:r>
            <w:proofErr w:type="spellEnd"/>
            <w:r w:rsidR="00A54BE2" w:rsidRPr="001D01D0">
              <w:rPr>
                <w:rFonts w:asciiTheme="minorHAnsi" w:hAnsiTheme="minorHAnsi" w:cs="Trebuchet MS"/>
                <w:sz w:val="16"/>
                <w:szCs w:val="16"/>
              </w:rPr>
              <w:t>, la deviazione standard e il filtro di ricostruzione applicabile all’algoritmo iterativo) e tenendo fisso il protocollo clinico selezionato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155D81" w:rsidRPr="00155D81" w:rsidTr="00155D81">
        <w:trPr>
          <w:cantSplit/>
          <w:trHeight w:val="20"/>
        </w:trPr>
        <w:tc>
          <w:tcPr>
            <w:tcW w:w="2501" w:type="pct"/>
            <w:shd w:val="clear" w:color="000000" w:fill="FFFFFF"/>
            <w:vAlign w:val="center"/>
          </w:tcPr>
          <w:p w:rsidR="00155D81" w:rsidRPr="001D01D0" w:rsidRDefault="00F8299A" w:rsidP="00D91282">
            <w:pPr>
              <w:pStyle w:val="BodyText22"/>
              <w:widowControl w:val="0"/>
              <w:spacing w:line="300" w:lineRule="atLeast"/>
              <w:rPr>
                <w:rFonts w:asciiTheme="minorHAnsi" w:hAnsiTheme="minorHAnsi" w:cs="Trebuchet MS"/>
                <w:sz w:val="16"/>
                <w:szCs w:val="16"/>
              </w:rPr>
            </w:pPr>
            <w:r w:rsidRPr="001D01D0">
              <w:rPr>
                <w:rFonts w:asciiTheme="minorHAnsi" w:hAnsiTheme="minorHAnsi" w:cs="Trebuchet MS"/>
                <w:sz w:val="16"/>
                <w:szCs w:val="16"/>
              </w:rPr>
              <w:t>1.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>1</w:t>
            </w:r>
            <w:r w:rsidR="00D91282" w:rsidRPr="001D01D0">
              <w:rPr>
                <w:rFonts w:asciiTheme="minorHAnsi" w:hAnsiTheme="minorHAnsi" w:cs="Trebuchet MS"/>
                <w:sz w:val="16"/>
                <w:szCs w:val="16"/>
              </w:rPr>
              <w:t>7</w:t>
            </w:r>
            <w:r w:rsidR="00155D81" w:rsidRPr="001D01D0">
              <w:rPr>
                <w:rFonts w:asciiTheme="minorHAnsi" w:hAnsiTheme="minorHAnsi" w:cs="Trebuchet MS"/>
                <w:sz w:val="16"/>
                <w:szCs w:val="16"/>
              </w:rPr>
              <w:t xml:space="preserve"> - Software di riduzione della dose con modulazione d'organo per la riduzione della corrente in direzione anteriore del paziente secondo l'angolazione del tubo</w:t>
            </w:r>
          </w:p>
        </w:tc>
        <w:tc>
          <w:tcPr>
            <w:tcW w:w="1249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000000" w:fill="FFFFFF"/>
          </w:tcPr>
          <w:p w:rsidR="00155D81" w:rsidRPr="00155D81" w:rsidRDefault="00155D81" w:rsidP="00155D8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155D81" w:rsidRDefault="00155D81">
      <w:pPr>
        <w:jc w:val="left"/>
        <w:rPr>
          <w:rFonts w:ascii="Calibri" w:hAnsi="Calibri"/>
          <w:sz w:val="20"/>
        </w:rPr>
      </w:pPr>
    </w:p>
    <w:p w:rsidR="000F5E5C" w:rsidRPr="001D01D0" w:rsidRDefault="000F5E5C" w:rsidP="000F5E5C">
      <w:pPr>
        <w:spacing w:line="300" w:lineRule="exact"/>
        <w:rPr>
          <w:rFonts w:ascii="Calibri" w:hAnsi="Calibri"/>
          <w:b/>
          <w:sz w:val="20"/>
          <w:szCs w:val="20"/>
        </w:rPr>
      </w:pPr>
      <w:r w:rsidRPr="001D01D0">
        <w:rPr>
          <w:rFonts w:ascii="Calibri" w:hAnsi="Calibri"/>
          <w:b/>
          <w:sz w:val="20"/>
          <w:szCs w:val="20"/>
        </w:rPr>
        <w:t xml:space="preserve">Si evidenzia la possibilità, esclusivamente per le caratteristiche tecniche relative alla conformità </w:t>
      </w:r>
      <w:proofErr w:type="spellStart"/>
      <w:r w:rsidRPr="001D01D0">
        <w:rPr>
          <w:rFonts w:ascii="Calibri" w:hAnsi="Calibri"/>
          <w:b/>
          <w:sz w:val="20"/>
          <w:szCs w:val="20"/>
        </w:rPr>
        <w:t>Dicom</w:t>
      </w:r>
      <w:proofErr w:type="spellEnd"/>
      <w:r w:rsidRPr="001D01D0">
        <w:rPr>
          <w:rFonts w:ascii="Calibri" w:hAnsi="Calibri"/>
          <w:b/>
          <w:sz w:val="20"/>
          <w:szCs w:val="20"/>
        </w:rPr>
        <w:t>, di presentare il documento “</w:t>
      </w:r>
      <w:proofErr w:type="spellStart"/>
      <w:r w:rsidRPr="001D01D0">
        <w:rPr>
          <w:rFonts w:ascii="Calibri" w:hAnsi="Calibri"/>
          <w:b/>
          <w:i/>
          <w:sz w:val="20"/>
          <w:szCs w:val="20"/>
        </w:rPr>
        <w:t>Dicom</w:t>
      </w:r>
      <w:proofErr w:type="spellEnd"/>
      <w:r w:rsidRPr="001D01D0"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 w:rsidRPr="001D01D0">
        <w:rPr>
          <w:rFonts w:ascii="Calibri" w:hAnsi="Calibri"/>
          <w:b/>
          <w:i/>
          <w:sz w:val="20"/>
          <w:szCs w:val="20"/>
        </w:rPr>
        <w:t>Conformance</w:t>
      </w:r>
      <w:proofErr w:type="spellEnd"/>
      <w:r w:rsidRPr="001D01D0">
        <w:rPr>
          <w:rFonts w:ascii="Calibri" w:hAnsi="Calibri"/>
          <w:b/>
          <w:i/>
          <w:sz w:val="20"/>
          <w:szCs w:val="20"/>
        </w:rPr>
        <w:t xml:space="preserve"> statement</w:t>
      </w:r>
      <w:r w:rsidRPr="001D01D0">
        <w:rPr>
          <w:rFonts w:ascii="Calibri" w:hAnsi="Calibri"/>
          <w:b/>
          <w:sz w:val="20"/>
          <w:szCs w:val="20"/>
        </w:rPr>
        <w:t>” in lingua inglese, anche non accompagnato da traduzione giurata in lingua italiana.</w:t>
      </w:r>
    </w:p>
    <w:p w:rsidR="000F5E5C" w:rsidRPr="001D01D0" w:rsidRDefault="000F5E5C" w:rsidP="000F5E5C">
      <w:pPr>
        <w:spacing w:line="300" w:lineRule="exact"/>
        <w:rPr>
          <w:rFonts w:ascii="Calibri" w:hAnsi="Calibri"/>
          <w:b/>
          <w:sz w:val="20"/>
          <w:szCs w:val="20"/>
        </w:rPr>
      </w:pPr>
    </w:p>
    <w:p w:rsidR="00155D81" w:rsidRDefault="00155D81" w:rsidP="000F5E5C">
      <w:pPr>
        <w:spacing w:line="300" w:lineRule="exact"/>
        <w:rPr>
          <w:rFonts w:ascii="Calibri" w:hAnsi="Calibri"/>
          <w:sz w:val="20"/>
        </w:rPr>
      </w:pPr>
      <w:r w:rsidRPr="001D01D0">
        <w:rPr>
          <w:rFonts w:ascii="Calibri" w:hAnsi="Calibri"/>
          <w:b/>
          <w:sz w:val="20"/>
          <w:szCs w:val="20"/>
        </w:rPr>
        <w:t>Le caratteristiche contrassegnate con “N/A” non saranno sottoposte né a comprova documentale né all’eventuale verifica tecnica</w:t>
      </w:r>
      <w:r w:rsidR="000F5E5C" w:rsidRPr="001D01D0">
        <w:rPr>
          <w:rFonts w:ascii="Calibri" w:hAnsi="Calibri"/>
          <w:sz w:val="20"/>
        </w:rPr>
        <w:t>.</w:t>
      </w:r>
    </w:p>
    <w:p w:rsidR="00155D81" w:rsidRDefault="00155D81">
      <w:pPr>
        <w:jc w:val="left"/>
        <w:rPr>
          <w:rFonts w:ascii="Calibri" w:hAnsi="Calibri"/>
          <w:b/>
          <w:smallCaps/>
          <w:sz w:val="20"/>
          <w:szCs w:val="20"/>
        </w:rPr>
      </w:pPr>
      <w:r>
        <w:rPr>
          <w:rFonts w:ascii="Calibri" w:hAnsi="Calibri"/>
          <w:b/>
          <w:smallCaps/>
          <w:sz w:val="20"/>
          <w:szCs w:val="20"/>
        </w:rPr>
        <w:br w:type="page"/>
      </w:r>
    </w:p>
    <w:p w:rsidR="00155D81" w:rsidRDefault="00155D81">
      <w:pPr>
        <w:jc w:val="left"/>
        <w:rPr>
          <w:rFonts w:ascii="Calibri" w:hAnsi="Calibri"/>
          <w:b/>
          <w:smallCaps/>
          <w:sz w:val="20"/>
          <w:szCs w:val="20"/>
        </w:rPr>
      </w:pPr>
    </w:p>
    <w:bookmarkEnd w:id="0"/>
    <w:p w:rsidR="00EB1BBC" w:rsidRDefault="00EB1BBC" w:rsidP="00EB1BBC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r w:rsidRPr="00F039B9">
        <w:rPr>
          <w:rFonts w:ascii="Calibri" w:hAnsi="Calibri"/>
          <w:sz w:val="20"/>
        </w:rPr>
        <w:t xml:space="preserve">Lotto </w:t>
      </w:r>
      <w:r>
        <w:rPr>
          <w:rFonts w:ascii="Calibri" w:hAnsi="Calibri"/>
          <w:sz w:val="20"/>
        </w:rPr>
        <w:t xml:space="preserve">2 -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MINIME</w:t>
      </w: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>
        <w:rPr>
          <w:rFonts w:ascii="Calibri" w:hAnsi="Calibri"/>
          <w:b/>
          <w:sz w:val="20"/>
          <w:szCs w:val="20"/>
        </w:rPr>
        <w:t xml:space="preserve">4 Lotto 2 </w:t>
      </w:r>
      <w:r w:rsidRPr="00E24861">
        <w:rPr>
          <w:rFonts w:ascii="Calibri" w:hAnsi="Calibri"/>
          <w:b/>
          <w:sz w:val="20"/>
          <w:szCs w:val="20"/>
        </w:rPr>
        <w:t>– “Caratteristiche tecniche minime” del Tomografo a Risonanza Magnetica 1,5 Tesla (Big bore)</w:t>
      </w: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4"/>
        <w:gridCol w:w="2108"/>
        <w:gridCol w:w="1964"/>
      </w:tblGrid>
      <w:tr w:rsidR="00EB1BBC" w:rsidRPr="000D1262" w:rsidTr="00417B0C">
        <w:trPr>
          <w:cantSplit/>
          <w:trHeight w:val="315"/>
          <w:tblHeader/>
        </w:trPr>
        <w:tc>
          <w:tcPr>
            <w:tcW w:w="2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vAlign w:val="center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DESCRIZIONE CARATTERISTICHE MINIME</w:t>
            </w:r>
          </w:p>
        </w:tc>
        <w:tc>
          <w:tcPr>
            <w:tcW w:w="1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vAlign w:val="center"/>
          </w:tcPr>
          <w:p w:rsidR="00EB1BBC" w:rsidRPr="00F6762F" w:rsidRDefault="00EB1BBC" w:rsidP="00417B0C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2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Magnete</w:t>
            </w:r>
          </w:p>
        </w:tc>
        <w:tc>
          <w:tcPr>
            <w:tcW w:w="1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81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Valore garantito dell'omogeneità del campo magnetico misurato tramite VRMS (almeno 24 piani, almeno 20 punti per piano), su diametro delle sfere di riferimento non superiore a: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4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 xml:space="preserve">0,04 </w:t>
            </w:r>
            <w:proofErr w:type="spellStart"/>
            <w:r w:rsidRPr="00A41450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A41450">
              <w:rPr>
                <w:rFonts w:ascii="Calibri" w:hAnsi="Calibri"/>
                <w:sz w:val="16"/>
                <w:szCs w:val="16"/>
              </w:rPr>
              <w:t xml:space="preserve"> per 10 cm di diametro</w:t>
            </w:r>
          </w:p>
        </w:tc>
        <w:tc>
          <w:tcPr>
            <w:tcW w:w="1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4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 xml:space="preserve">0,1 </w:t>
            </w:r>
            <w:proofErr w:type="spellStart"/>
            <w:r w:rsidRPr="00A41450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A41450">
              <w:rPr>
                <w:rFonts w:ascii="Calibri" w:hAnsi="Calibri"/>
                <w:sz w:val="16"/>
                <w:szCs w:val="16"/>
              </w:rPr>
              <w:t xml:space="preserve"> per 20 cm di diametro</w:t>
            </w:r>
          </w:p>
        </w:tc>
        <w:tc>
          <w:tcPr>
            <w:tcW w:w="1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4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 xml:space="preserve">0,4 </w:t>
            </w:r>
            <w:proofErr w:type="spellStart"/>
            <w:r w:rsidRPr="00A41450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A41450">
              <w:rPr>
                <w:rFonts w:ascii="Calibri" w:hAnsi="Calibri"/>
                <w:sz w:val="16"/>
                <w:szCs w:val="16"/>
              </w:rPr>
              <w:t xml:space="preserve"> per 30 cm di diametro</w:t>
            </w:r>
          </w:p>
        </w:tc>
        <w:tc>
          <w:tcPr>
            <w:tcW w:w="1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111"/>
        </w:trPr>
        <w:tc>
          <w:tcPr>
            <w:tcW w:w="247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4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 xml:space="preserve">1,4 </w:t>
            </w:r>
            <w:proofErr w:type="spellStart"/>
            <w:r w:rsidRPr="00A41450">
              <w:rPr>
                <w:rFonts w:ascii="Calibri" w:hAnsi="Calibri"/>
                <w:sz w:val="16"/>
                <w:szCs w:val="16"/>
              </w:rPr>
              <w:t>ppm</w:t>
            </w:r>
            <w:proofErr w:type="spellEnd"/>
            <w:r w:rsidRPr="00A41450">
              <w:rPr>
                <w:rFonts w:ascii="Calibri" w:hAnsi="Calibri"/>
                <w:sz w:val="16"/>
                <w:szCs w:val="16"/>
              </w:rPr>
              <w:t xml:space="preserve"> per 40 cm di diametro</w:t>
            </w:r>
          </w:p>
        </w:tc>
        <w:tc>
          <w:tcPr>
            <w:tcW w:w="130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45"/>
        </w:trPr>
        <w:tc>
          <w:tcPr>
            <w:tcW w:w="24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Esistenza di sistemi di compensazione 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shimming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magnetico della omogeneità del campo magnetico principale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Autoschermatura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del magnete di tipo attivo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Presenza del sistema di raffreddamento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Diametro minimo del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gantry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non inferiore a 68</w:t>
            </w:r>
            <w:r w:rsidRPr="005D39E4">
              <w:rPr>
                <w:rFonts w:ascii="Calibri" w:hAnsi="Calibri"/>
                <w:color w:val="FF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sz w:val="16"/>
                <w:szCs w:val="16"/>
              </w:rPr>
              <w:t>cm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Presenza del sistema di centratura 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 xml:space="preserve">Tavolo </w:t>
            </w:r>
            <w:proofErr w:type="spellStart"/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54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Modalità di movimentazione manuale e automatica con comandi all'interno della sala RM e all'interno della sala consolle di acquisizione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Posizionamento automatico dell'area studio al centro del campo di misura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Sistema di sbloccaggio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del tavolo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portapaziente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 movimento manuale in situazioni di emergenza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4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Carico massimo garantendo l'accuratezza di posizionamento durante la scansione e il movimento verticale del tavolo in fase di posizionamento del paziente ≥ 200 kg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Lunghezza del tavolo ≥ 2</w:t>
            </w:r>
            <w:r>
              <w:rPr>
                <w:rFonts w:ascii="Calibri" w:hAnsi="Calibri"/>
                <w:sz w:val="16"/>
                <w:szCs w:val="16"/>
              </w:rPr>
              <w:t>2</w:t>
            </w:r>
            <w:r w:rsidRPr="005D39E4">
              <w:rPr>
                <w:rFonts w:ascii="Calibri" w:hAnsi="Calibri"/>
                <w:sz w:val="16"/>
                <w:szCs w:val="16"/>
              </w:rPr>
              <w:t>0 cm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Minima altezza da terra </w:t>
            </w:r>
            <w:r w:rsidRPr="009572B5">
              <w:rPr>
                <w:rFonts w:ascii="Calibri" w:hAnsi="Calibri"/>
                <w:sz w:val="16"/>
                <w:szCs w:val="16"/>
              </w:rPr>
              <w:t>≤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7</w:t>
            </w:r>
            <w:r w:rsidRPr="005D39E4">
              <w:rPr>
                <w:rFonts w:ascii="Calibri" w:hAnsi="Calibri"/>
                <w:sz w:val="16"/>
                <w:szCs w:val="16"/>
              </w:rPr>
              <w:t>0 cm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Range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di escursione longitudinale del tavolo ≥  200 cm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Massima lunghezza scansionabile del tavolo ≥ 140 cm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 xml:space="preserve">Gradienti nelle 3 direzioni dello spazio </w:t>
            </w:r>
            <w:proofErr w:type="spellStart"/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Intensità per singolo asse (x, y, z) ≥ 33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/m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Slew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rate massimo per singolo asse (x, y, z) ≥ 120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mT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>/m/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ms</w:t>
            </w:r>
            <w:proofErr w:type="spellEnd"/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Sistema di schermatura gradienti di tipo attivo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Catena di radiofrequenza</w:t>
            </w:r>
          </w:p>
        </w:tc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Catena di radio frequenza realizzata con tecnologie di tipo digitale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Potenza massima dell'amplificatore RF ≥ 16 KW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449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Numero di canali indipendenti in ricezione non inferiore a 32, utilizzabili simultaneamente all'interno del FOV massimo disponibile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Bobina body in quadratura integrata nel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gantry</w:t>
            </w:r>
            <w:proofErr w:type="spellEnd"/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4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Bobina head-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neck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phased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array,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anche p</w:t>
            </w:r>
            <w:r w:rsidRPr="000F6FD9"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r applicazioni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neurovascolari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con numero di canali indipendenti non inferiori a 16 di cui almeno 12 dedicati all'encefalo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53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Bobina colonna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phased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array integrata nel tavolo, almeno 16 canali attivi contemporaneamente, con possibilità di uso combinato con altre bobine e almeno 50 cm di copertura fisica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4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Bobina/e addome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phased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array, inclusa regione del cuore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con copertura totale dell’addome e del torace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con numero di canali indipendenti complessivi non inferiori a 28 e copertura totale non inferiore a 50x50 cm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Bobina per la copertura degli arti inferiori per studi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total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body 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almeno </w:t>
            </w:r>
            <w:r>
              <w:rPr>
                <w:rFonts w:ascii="Calibri" w:hAnsi="Calibri"/>
                <w:sz w:val="16"/>
                <w:szCs w:val="16"/>
              </w:rPr>
              <w:t>16</w:t>
            </w:r>
            <w:r w:rsidRPr="005D39E4">
              <w:rPr>
                <w:rFonts w:ascii="Calibri" w:hAnsi="Calibri"/>
                <w:sz w:val="16"/>
                <w:szCs w:val="16"/>
              </w:rPr>
              <w:t xml:space="preserve"> canali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Bobina ginocchio dedicata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phased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array ad almeno 8 canali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07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Bobine flessibili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phased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array ad almeno 4 canali per eseguire esami su distretti superficiali su medie e grandi articolazioni (almeno 2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Sequenze di acquisizione</w:t>
            </w:r>
          </w:p>
        </w:tc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Spin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echo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Multi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echo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 minimo 2 echi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Inversion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recovery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STIR 2D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FLAIR 2D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Gradient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echo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 e 3D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Fast GRE 2D e 3D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22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TSE/FSE 2D e 3D,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variable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in T1W, T2W, FLAIR, STIR nei distretti neuro, addome inferiore e osteoarticolare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B1BBC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Echo Planar Imaging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sequenze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DWI 2D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BOLD 2D e relativo software di elaborazione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B1BBC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Steady state 2D e 3D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EB1BBC" w:rsidRPr="00EB1BBC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Magnetization Transfer Contrast  off resonance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</w:tr>
      <w:tr w:rsidR="00EB1BBC" w:rsidRPr="000D1262" w:rsidTr="00417B0C">
        <w:trPr>
          <w:cantSplit/>
          <w:trHeight w:val="519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Sequenze per acquisizioni di acqua (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Colangio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Pielo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Mielo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Scialo, …) 2D e 3D, fornite a seconda del distretto anatomico, a respiro libero con trigger esterno e interno o in apnea respiratoria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Sequenze in suscettività pesata per i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microsanguinamenti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cerebrali</w:t>
            </w:r>
            <w:r>
              <w:rPr>
                <w:rFonts w:ascii="Calibri" w:hAnsi="Calibri"/>
                <w:sz w:val="16"/>
                <w:szCs w:val="16"/>
              </w:rPr>
              <w:t xml:space="preserve"> e relativa elaborazione tipo SWI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416"/>
        </w:trPr>
        <w:tc>
          <w:tcPr>
            <w:tcW w:w="247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Algoritmi di correzione della distorsione da metallo soprattutto in caso di acquisizioni osteoarticolari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Tecniche di accelerazione 2D e 3D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Acquisizione in matrice 512x512 non interpolata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Consolle di acquisizione/comando</w:t>
            </w:r>
          </w:p>
        </w:tc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540"/>
        </w:trPr>
        <w:tc>
          <w:tcPr>
            <w:tcW w:w="247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Conformità allo standard DICOM 3, compreso: SCP/SCU,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query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retrieve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Dicom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print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Modality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worklist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, MPPS,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storage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Commitment</w:t>
            </w:r>
            <w:proofErr w:type="spellEnd"/>
          </w:p>
        </w:tc>
        <w:tc>
          <w:tcPr>
            <w:tcW w:w="1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Sistema di comunicazione verbale-bidirezionale tra sala consolle e sala esame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CB0117" w:rsidRDefault="00EB1BBC" w:rsidP="00417B0C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B0117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Sistema di rilevamento e di sincronizzazione dell'attività respiratoria e ECG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Tastiera alfanumerica e mouse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71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Un monitor, a schermo piatto, a colori, ad alta risoluzione e di dimensioni non inferiori a 19”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Elenco predefinito di protocolli di acquisizione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Protocolli di elaborazione associati al tipo di esame personalizzabili e memorizzabili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Spessore di strato minimo in 2D ≤ 0,5 mm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Spessore di strato minimo in 3D ≤ 0,1 mm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00"/>
        </w:trPr>
        <w:tc>
          <w:tcPr>
            <w:tcW w:w="247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Visualizzazione in matrice 1024x1024 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284"/>
        </w:trPr>
        <w:tc>
          <w:tcPr>
            <w:tcW w:w="247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>Attivazione automatica degli elementi di bobina vicini al FOV/distretto anatomico interessato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284"/>
        </w:trPr>
        <w:tc>
          <w:tcPr>
            <w:tcW w:w="2479" w:type="pct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B1BBC" w:rsidRPr="005D39E4" w:rsidRDefault="00EB1BBC" w:rsidP="00417B0C">
            <w:pPr>
              <w:rPr>
                <w:rFonts w:ascii="Calibri" w:hAnsi="Calibri"/>
                <w:sz w:val="16"/>
                <w:szCs w:val="16"/>
              </w:rPr>
            </w:pPr>
            <w:r w:rsidRPr="00D20032">
              <w:rPr>
                <w:rFonts w:ascii="Calibri" w:hAnsi="Calibri"/>
                <w:color w:val="000000"/>
                <w:sz w:val="16"/>
                <w:szCs w:val="16"/>
              </w:rPr>
              <w:t>Dimensione massima del FOV ≥ 50*50*45 cm rispettivamente nei tre assi (x, y, z)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in uso clinico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EB1BBC" w:rsidRPr="00D20032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EB1BBC" w:rsidRPr="00D20032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  <w:vAlign w:val="center"/>
            <w:hideMark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Applicativi specifici per distretto anatomico</w:t>
            </w:r>
          </w:p>
        </w:tc>
        <w:tc>
          <w:tcPr>
            <w:tcW w:w="1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EB1BBC" w:rsidRPr="000D1262" w:rsidTr="00417B0C">
        <w:trPr>
          <w:cantSplit/>
          <w:trHeight w:val="1206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Addome superiore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Tecniche di acquisizione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Breath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Hold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con saturazione del grasso CHESS-IR, CHESS-IR adiabatico 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alle quali siano applicabili le tecniche di accelerazione richieste nei punti precedenti, per acquisizioni dinamiche post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contrastografic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h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2. Tecniche di acquisizione d'immagini d'acqua (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Colangio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Pielo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 2D e 3D acquisibili a respiro sospeso, con trigger respiratorio interno (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echonavigatore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 ed esterno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Addome Inferiore:</w:t>
            </w:r>
          </w:p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Acquisizioni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variable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per acquisizioni sull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pelvi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1397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Neuro: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Sequenze 3D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variabile con pesatura T1W, T2W, FLAIR, STIR con la possibilità di applicare gli impulsi RF di saturazione del grasso utilizzabili nel distretto encefalico e spinale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perfusione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tipo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DSC (con relativo software di elaborazione immagini), DCE (Qualitativa curva intensità/tempo; Quantitativa basata su metodo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Toft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o similari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dal quale ottenere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almeno 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i parametri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Ktrans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Ke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);  ASL 2D 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/o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3D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3. Tecniche di spettroscopia Single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2D 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Multivoxel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3D con relativi software di elaborazione immagini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4. Tecniche di acquisizioni volumetriche d'immagini d'acqua (Mielografia)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698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Cardio: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sequenze dedicate allo studio morfologico e dinamico del cuore, inclusi studi sulla funzionalità valvolare, con acquisizione anche single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slice-multiphases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anche tramite tecnica di rilevazione volumetrica del tracciato ECG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1116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Tecniche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TOF 2D e 3D per acquisizioni standard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PC 2D e 3D per la visualizzazione e quantificazione del flusso per acquisizioni standard e con sincronizzazione cardiaca per studi cardiovascolari e relativo software di elaborazione dei flussi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3.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CE 3D con K-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space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centrico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4.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Angio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No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MdC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utilizzate per studi vascolari Body e periferici con tecniche di acquis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i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zione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TSE,labelling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, IR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53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Ortho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T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ecniche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per la saturazione del grasso </w:t>
            </w:r>
          </w:p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acquisizione volumetriche a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flip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angle variabile. 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46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Oncologico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: sequenze in DWI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total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body, studi in perfusione CE; spostamento automatico del lettino e sincronizzazione dell'acquisizione con il bolo di mezzo di contrasto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569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 w:rsidRPr="005D39E4">
              <w:rPr>
                <w:rFonts w:ascii="Calibri" w:hAnsi="Calibri"/>
                <w:sz w:val="16"/>
                <w:szCs w:val="16"/>
              </w:rPr>
              <w:t xml:space="preserve">Software di acquisizione per spettroscopia per applicazione encefalo con relativo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sw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di post-elaborazione single -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e multi -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voxel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2D e 3D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91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Software </w:t>
            </w:r>
            <w:r w:rsidRPr="005D39E4">
              <w:rPr>
                <w:rFonts w:ascii="Calibri" w:hAnsi="Calibri"/>
                <w:sz w:val="16"/>
                <w:szCs w:val="16"/>
              </w:rPr>
              <w:t>di fusione immagini nel caso delle immagini di diffusione (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whole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body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 xml:space="preserve"> per studi </w:t>
            </w:r>
            <w:proofErr w:type="spellStart"/>
            <w:r w:rsidRPr="005D39E4">
              <w:rPr>
                <w:rFonts w:ascii="Calibri" w:hAnsi="Calibri"/>
                <w:sz w:val="16"/>
                <w:szCs w:val="16"/>
              </w:rPr>
              <w:t>similPET</w:t>
            </w:r>
            <w:proofErr w:type="spellEnd"/>
            <w:r w:rsidRPr="005D39E4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970"/>
        </w:trPr>
        <w:tc>
          <w:tcPr>
            <w:tcW w:w="247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Tecniche di saturazione tissutale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:</w:t>
            </w:r>
          </w:p>
          <w:p w:rsidR="00EB1BBC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1. Tecniche di separazione acqua/grasso basate sul IR (STIR, FLAIR, ...)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;</w:t>
            </w:r>
          </w:p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2. Tecniche di saturazione Acqua / Grasso basate su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chemical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shift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(CHESS, CHESS-IR, CHESS-IR adiabatico, Water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Exitation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Dixon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GRE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B1BBC" w:rsidRPr="000D1262" w:rsidTr="00417B0C">
        <w:trPr>
          <w:cantSplit/>
          <w:trHeight w:val="315"/>
        </w:trPr>
        <w:tc>
          <w:tcPr>
            <w:tcW w:w="2479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Tecniche per la correzione di artefatti da movimento (K-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space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Radial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MultiShot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216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EB1BBC" w:rsidRDefault="00EB1BBC" w:rsidP="00EB1BBC">
      <w:pPr>
        <w:rPr>
          <w:rFonts w:ascii="Calibri" w:hAnsi="Calibri"/>
          <w:b/>
          <w:sz w:val="20"/>
          <w:szCs w:val="20"/>
        </w:rPr>
      </w:pPr>
    </w:p>
    <w:p w:rsidR="00EB1BBC" w:rsidRDefault="00EB1BBC" w:rsidP="00EB1BBC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sz w:val="19"/>
          <w:szCs w:val="19"/>
        </w:rPr>
        <w:t>La Pubblica Amministrazione che ordina l’apparecchiatura in configurazione minima potrà ordinare i</w:t>
      </w:r>
    </w:p>
    <w:p w:rsidR="00EB1BBC" w:rsidRDefault="00EB1BBC" w:rsidP="00EB1BBC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  <w:r>
        <w:rPr>
          <w:rFonts w:ascii="Calibri" w:hAnsi="Calibri" w:cs="Calibri"/>
          <w:sz w:val="19"/>
          <w:szCs w:val="19"/>
        </w:rPr>
        <w:t>dispositivi accessori di seguito indicati:</w:t>
      </w:r>
    </w:p>
    <w:p w:rsidR="00EB1BBC" w:rsidRDefault="00EB1BBC" w:rsidP="00EB1BBC">
      <w:pPr>
        <w:autoSpaceDE w:val="0"/>
        <w:autoSpaceDN w:val="0"/>
        <w:adjustRightInd w:val="0"/>
        <w:jc w:val="left"/>
        <w:rPr>
          <w:rFonts w:ascii="Calibri" w:hAnsi="Calibri" w:cs="Calibri"/>
          <w:sz w:val="19"/>
          <w:szCs w:val="19"/>
        </w:rPr>
      </w:pP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  <w:r w:rsidRPr="00B751C9">
        <w:rPr>
          <w:rFonts w:ascii="Calibri" w:hAnsi="Calibri"/>
          <w:b/>
          <w:sz w:val="20"/>
          <w:szCs w:val="20"/>
        </w:rPr>
        <w:t>Tabella 5 Lotto 2 – “Caratteristiche tecniche minime” dei Dispositivi accessori del Tomografo a Risonanza Magnetica 1,5 Tesla (Big bore)</w:t>
      </w: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</w:p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2127"/>
        <w:gridCol w:w="1984"/>
      </w:tblGrid>
      <w:tr w:rsidR="00EB1BBC" w:rsidRPr="00EA59B4" w:rsidTr="00417B0C">
        <w:trPr>
          <w:cantSplit/>
          <w:trHeight w:val="300"/>
          <w:tblHeader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vAlign w:val="center"/>
          </w:tcPr>
          <w:p w:rsidR="00EB1BBC" w:rsidRPr="00F6762F" w:rsidRDefault="00EB1BBC" w:rsidP="00417B0C">
            <w:pPr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DESCRIZIONE CARATTERISTICHE MINIME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vAlign w:val="center"/>
          </w:tcPr>
          <w:p w:rsidR="00EB1BBC" w:rsidRPr="00F6762F" w:rsidRDefault="00EB1BBC" w:rsidP="00417B0C">
            <w:pPr>
              <w:jc w:val="left"/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</w:tcPr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EB1BBC" w:rsidRPr="00F6762F" w:rsidRDefault="00EB1BBC" w:rsidP="00417B0C">
            <w:pPr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EB1BBC" w:rsidRPr="00F6762F" w:rsidRDefault="00EB1BBC" w:rsidP="00417B0C">
            <w:pPr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B1BBC" w:rsidRPr="005D39E4" w:rsidRDefault="00EB1BBC" w:rsidP="00417B0C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Iniettore di mezzo di contrasto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per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RM</w:t>
            </w:r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 doppia o tripla via e relativa consolle di comando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A41450" w:rsidRDefault="00EB1BBC" w:rsidP="00417B0C">
            <w:pPr>
              <w:rPr>
                <w:rFonts w:ascii="Calibri" w:hAnsi="Calibri"/>
                <w:b/>
                <w:sz w:val="18"/>
                <w:szCs w:val="18"/>
              </w:rPr>
            </w:pPr>
            <w:r w:rsidRPr="009C211E">
              <w:rPr>
                <w:rFonts w:ascii="Calibri" w:hAnsi="Calibri"/>
                <w:b/>
                <w:sz w:val="16"/>
                <w:szCs w:val="16"/>
              </w:rPr>
              <w:t>Bobina mammella predisposta per biopsia</w:t>
            </w:r>
            <w:r w:rsidRPr="00A41450">
              <w:rPr>
                <w:rFonts w:ascii="Calibri" w:hAnsi="Calibri"/>
                <w:sz w:val="18"/>
                <w:szCs w:val="18"/>
              </w:rPr>
              <w:t xml:space="preserve"> completa dell'eventuale accessorio necessario per l'esecuzione della biopsia senza i consumabili e tecniche per la valutazione degli impianti protesici mammari e </w:t>
            </w:r>
            <w:proofErr w:type="spellStart"/>
            <w:r w:rsidRPr="00A41450">
              <w:rPr>
                <w:rFonts w:ascii="Calibri" w:hAnsi="Calibri"/>
                <w:sz w:val="18"/>
                <w:szCs w:val="18"/>
              </w:rPr>
              <w:t>contrast</w:t>
            </w:r>
            <w:proofErr w:type="spellEnd"/>
            <w:r w:rsidRPr="00A41450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spellStart"/>
            <w:r w:rsidRPr="00A41450">
              <w:rPr>
                <w:rFonts w:ascii="Calibri" w:hAnsi="Calibri"/>
                <w:sz w:val="18"/>
                <w:szCs w:val="18"/>
              </w:rPr>
              <w:t>enhancement</w:t>
            </w:r>
            <w:proofErr w:type="spellEnd"/>
            <w:r w:rsidRPr="00A41450">
              <w:rPr>
                <w:rFonts w:ascii="Calibri" w:hAnsi="Calibri"/>
                <w:sz w:val="18"/>
                <w:szCs w:val="18"/>
              </w:rPr>
              <w:t xml:space="preserve"> dinamiche con curve di intensità/tempo e relativi software di </w:t>
            </w:r>
            <w:proofErr w:type="spellStart"/>
            <w:r w:rsidRPr="00A41450">
              <w:rPr>
                <w:rFonts w:ascii="Calibri" w:hAnsi="Calibri"/>
                <w:sz w:val="18"/>
                <w:szCs w:val="18"/>
              </w:rPr>
              <w:t>postelaborazione</w:t>
            </w:r>
            <w:proofErr w:type="spell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F6762F" w:rsidRDefault="00EB1BBC" w:rsidP="00417B0C">
            <w:pP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F6762F" w:rsidRDefault="00EB1BBC" w:rsidP="00417B0C">
            <w:pPr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5D39E4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lastRenderedPageBreak/>
              <w:t xml:space="preserve">Bobina mammella per </w:t>
            </w:r>
            <w:proofErr w:type="spellStart"/>
            <w:r w:rsidRPr="005D39E4">
              <w:rPr>
                <w:rFonts w:ascii="Calibri" w:hAnsi="Calibri"/>
                <w:b/>
                <w:color w:val="000000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ad almeno 7 canali completa di relativo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di elaborazione per tecniche di acquisizione per studi morfologici dinamici della mammella,  sequenze dedicate allo studio contemporaneo delle mammelle con tecniche di </w:t>
            </w:r>
            <w:proofErr w:type="spellStart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5D39E4">
              <w:rPr>
                <w:rFonts w:ascii="Calibri" w:hAnsi="Calibri"/>
                <w:color w:val="000000"/>
                <w:sz w:val="16"/>
                <w:szCs w:val="16"/>
              </w:rPr>
              <w:t xml:space="preserve"> parallelo, con tecniche di acquisizione in T1 volumetriche ad alta risoluzione con o senza saturazione del grasso e con studi in diffusione delle aree di interesse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. Software di acquisizione per spettroscopia mammella e relativo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di post-elaborazione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A41450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A41450">
              <w:rPr>
                <w:rFonts w:ascii="Calibri" w:hAnsi="Calibri"/>
                <w:b/>
                <w:color w:val="000000"/>
                <w:sz w:val="16"/>
                <w:szCs w:val="16"/>
              </w:rPr>
              <w:t>Sw</w:t>
            </w:r>
            <w:proofErr w:type="spellEnd"/>
            <w:r w:rsidRPr="00A4145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cerebrale avanzato</w:t>
            </w: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 con sequenze per acquisizione ed elaborazione di studi di diffusione, anche con il metodo del tensore e </w:t>
            </w:r>
            <w:proofErr w:type="spellStart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sw</w:t>
            </w:r>
            <w:proofErr w:type="spellEnd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 di post elaborazione per la </w:t>
            </w:r>
            <w:proofErr w:type="spellStart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trattografia</w:t>
            </w:r>
            <w:proofErr w:type="spell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5D39E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Cardio RM</w:t>
            </w:r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: tecniche dedicate alla perfusione cardiaca, al late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enhancement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 2D e 3D e alla quantificazione del flusso; RM coronarica con tecniche dedicate all'acquisizione a respiro libero, tecnica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multislices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; Software per acquisizioni cardiache funzionali veloci ad altissima risoluzione spaziale/temporale con sequenze di tipo "steady state" per aumentare il contrasto tra sangue e parete cardiaca; Studio morfologico dei ventricoli con sequenze pesate in T1 e T2 e con tecniche di soppressione del grasso; Visualizzazione CINE di più fasi cardiache sulle diverse localizzazioni anatomiche; calcoli parametrici cardiaci (ad es. volume di eiezione), protocolli per il T1 </w:t>
            </w:r>
            <w:proofErr w:type="spellStart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mapping</w:t>
            </w:r>
            <w:proofErr w:type="spellEnd"/>
            <w:r w:rsidRPr="00EA59B4">
              <w:rPr>
                <w:rFonts w:ascii="Calibri" w:hAnsi="Calibri"/>
                <w:bCs/>
                <w:color w:val="000000"/>
                <w:sz w:val="16"/>
                <w:szCs w:val="16"/>
              </w:rPr>
              <w:t>, protocolli per studi di talassemia con quantificazione T2*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EB1BBC" w:rsidRPr="00A41450" w:rsidRDefault="00EB1BBC" w:rsidP="00417B0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b/>
                <w:color w:val="000000"/>
                <w:sz w:val="16"/>
                <w:szCs w:val="16"/>
              </w:rPr>
              <w:t>Consolle di refertazione/post-elaborazione</w:t>
            </w: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 (integrata da un punto di vista operativo con la consolle principale ma dotata di proprio processore indipendente), completa di: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1BBC" w:rsidRPr="005D39E4" w:rsidRDefault="00EB1BBC" w:rsidP="00417B0C">
            <w:pPr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Sistema archiviazione ed elaborazione immagini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0F6FD9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0F6FD9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Elaborazione 3D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D9702A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D9702A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Elaborazione spettroscopia 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Elaborazione sequenze dinamiche </w:t>
            </w:r>
            <w:proofErr w:type="spellStart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m.d.c</w:t>
            </w:r>
            <w:proofErr w:type="spellEnd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13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Elaborazione Cardio </w:t>
            </w:r>
            <w:proofErr w:type="spellStart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Rm</w:t>
            </w:r>
            <w:proofErr w:type="spellEnd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 e calcoli parametrici cardiaci (es. volume di eiezione)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Perfusione cerebrale con mappe a colori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93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Gestione delle altre modalità di </w:t>
            </w:r>
            <w:proofErr w:type="spellStart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>imaging</w:t>
            </w:r>
            <w:proofErr w:type="spellEnd"/>
            <w:r w:rsidRPr="00A41450">
              <w:rPr>
                <w:rFonts w:ascii="Calibri" w:hAnsi="Calibri"/>
                <w:color w:val="000000"/>
                <w:sz w:val="16"/>
                <w:szCs w:val="16"/>
              </w:rPr>
              <w:t xml:space="preserve"> (TC, RM, Medicina Nucleare, RX)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99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 xml:space="preserve">Un monitor, a schermo piatto, a colori, ad alta risoluzione e di dimensioni non inferiori ai 19” 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00"/>
        </w:trPr>
        <w:tc>
          <w:tcPr>
            <w:tcW w:w="3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>Interfaccia DICOM completa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EB1BBC" w:rsidRPr="00EA59B4" w:rsidTr="00417B0C">
        <w:trPr>
          <w:cantSplit/>
          <w:trHeight w:val="315"/>
        </w:trPr>
        <w:tc>
          <w:tcPr>
            <w:tcW w:w="3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BBC" w:rsidRPr="00A41450" w:rsidRDefault="00EB1BBC" w:rsidP="00417B0C">
            <w:pPr>
              <w:pStyle w:val="Paragrafoelenco"/>
              <w:numPr>
                <w:ilvl w:val="0"/>
                <w:numId w:val="22"/>
              </w:numPr>
              <w:jc w:val="left"/>
              <w:rPr>
                <w:rFonts w:ascii="Calibri" w:hAnsi="Calibri"/>
                <w:sz w:val="16"/>
                <w:szCs w:val="16"/>
              </w:rPr>
            </w:pPr>
            <w:r w:rsidRPr="00A41450">
              <w:rPr>
                <w:rFonts w:ascii="Calibri" w:hAnsi="Calibri"/>
                <w:sz w:val="16"/>
                <w:szCs w:val="16"/>
              </w:rPr>
              <w:t>Tastiera alfanumerica e mouse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  <w:r w:rsidRPr="004818E2">
              <w:rPr>
                <w:rFonts w:ascii="Calibri" w:hAnsi="Calibri"/>
                <w:b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BBC" w:rsidRPr="005D39E4" w:rsidRDefault="00EB1BBC" w:rsidP="00417B0C">
            <w:pPr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EB1BBC" w:rsidRDefault="00EB1BBC" w:rsidP="00EB1BBC">
      <w:pPr>
        <w:rPr>
          <w:rFonts w:ascii="Calibri" w:hAnsi="Calibri"/>
          <w:sz w:val="20"/>
          <w:szCs w:val="20"/>
        </w:rPr>
      </w:pPr>
    </w:p>
    <w:p w:rsidR="00EB1BBC" w:rsidRDefault="00EB1BBC" w:rsidP="00EB1BBC">
      <w:pPr>
        <w:pStyle w:val="Titolo2"/>
        <w:numPr>
          <w:ilvl w:val="0"/>
          <w:numId w:val="0"/>
        </w:numPr>
        <w:rPr>
          <w:rFonts w:ascii="Calibri" w:hAnsi="Calibri"/>
          <w:sz w:val="20"/>
        </w:rPr>
      </w:pPr>
      <w:r w:rsidRPr="00F039B9">
        <w:rPr>
          <w:rFonts w:ascii="Calibri" w:hAnsi="Calibri"/>
          <w:sz w:val="20"/>
        </w:rPr>
        <w:t xml:space="preserve">Lotto </w:t>
      </w:r>
      <w:r>
        <w:rPr>
          <w:rFonts w:ascii="Calibri" w:hAnsi="Calibri"/>
          <w:sz w:val="20"/>
        </w:rPr>
        <w:t xml:space="preserve">2 - </w:t>
      </w:r>
      <w:r w:rsidRPr="00F039B9">
        <w:rPr>
          <w:rFonts w:ascii="Calibri" w:hAnsi="Calibri"/>
          <w:sz w:val="20"/>
        </w:rPr>
        <w:t xml:space="preserve">RIFERIMENTI DOCUMENTALI </w:t>
      </w:r>
      <w:r>
        <w:rPr>
          <w:rFonts w:ascii="Calibri" w:hAnsi="Calibri"/>
          <w:sz w:val="20"/>
        </w:rPr>
        <w:t>CARATTERISTICHE MIGLIORATIVE</w:t>
      </w: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  <w:r w:rsidRPr="00E24861">
        <w:rPr>
          <w:rFonts w:ascii="Calibri" w:hAnsi="Calibri"/>
          <w:b/>
          <w:sz w:val="20"/>
          <w:szCs w:val="20"/>
        </w:rPr>
        <w:t xml:space="preserve">Tabella </w:t>
      </w:r>
      <w:r>
        <w:rPr>
          <w:rFonts w:ascii="Calibri" w:hAnsi="Calibri"/>
          <w:b/>
          <w:sz w:val="20"/>
          <w:szCs w:val="20"/>
        </w:rPr>
        <w:t xml:space="preserve">6 Lotto 2 </w:t>
      </w:r>
      <w:r w:rsidRPr="00E24861">
        <w:rPr>
          <w:rFonts w:ascii="Calibri" w:hAnsi="Calibri"/>
          <w:b/>
          <w:sz w:val="20"/>
          <w:szCs w:val="20"/>
        </w:rPr>
        <w:t xml:space="preserve">– </w:t>
      </w:r>
      <w:r>
        <w:rPr>
          <w:rFonts w:ascii="Calibri" w:hAnsi="Calibri"/>
          <w:b/>
          <w:sz w:val="20"/>
          <w:szCs w:val="20"/>
        </w:rPr>
        <w:t>“Caratteristiche tecniche migliorative</w:t>
      </w:r>
      <w:r w:rsidRPr="00E24861">
        <w:rPr>
          <w:rFonts w:ascii="Calibri" w:hAnsi="Calibri"/>
          <w:b/>
          <w:sz w:val="20"/>
          <w:szCs w:val="20"/>
        </w:rPr>
        <w:t>” del Tomografo a Risonanza Magnetica 1,5 Tesla (Big bore)</w:t>
      </w: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</w:p>
    <w:p w:rsidR="00EB1BBC" w:rsidRPr="007A523F" w:rsidRDefault="00EB1BBC" w:rsidP="00EB1BBC">
      <w:pPr>
        <w:rPr>
          <w:vanish/>
        </w:rPr>
      </w:pPr>
    </w:p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2127"/>
        <w:gridCol w:w="1984"/>
      </w:tblGrid>
      <w:tr w:rsidR="00EB1BBC" w:rsidRPr="004C3343" w:rsidTr="00417B0C">
        <w:trPr>
          <w:cantSplit/>
          <w:trHeight w:val="315"/>
          <w:tblHeader/>
        </w:trPr>
        <w:tc>
          <w:tcPr>
            <w:tcW w:w="3984" w:type="dxa"/>
            <w:shd w:val="clear" w:color="auto" w:fill="002060"/>
            <w:vAlign w:val="center"/>
          </w:tcPr>
          <w:p w:rsidR="00EB1BBC" w:rsidRPr="00F6762F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DESCRIZIONE CARATTERISTICHE MIGLIORATIVE</w:t>
            </w:r>
          </w:p>
        </w:tc>
        <w:tc>
          <w:tcPr>
            <w:tcW w:w="2127" w:type="dxa"/>
            <w:shd w:val="clear" w:color="auto" w:fill="002060"/>
            <w:vAlign w:val="center"/>
          </w:tcPr>
          <w:p w:rsidR="00EB1BBC" w:rsidRPr="00F6762F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NOME DOCUMENTO (OPPURE NOME FILE)</w:t>
            </w:r>
          </w:p>
        </w:tc>
        <w:tc>
          <w:tcPr>
            <w:tcW w:w="1984" w:type="dxa"/>
            <w:shd w:val="clear" w:color="auto" w:fill="002060"/>
            <w:vAlign w:val="center"/>
          </w:tcPr>
          <w:p w:rsidR="00EB1BBC" w:rsidRPr="00F6762F" w:rsidRDefault="00EB1BBC" w:rsidP="00417B0C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RIFERIMENTO</w:t>
            </w:r>
          </w:p>
          <w:p w:rsidR="00EB1BBC" w:rsidRPr="00F6762F" w:rsidRDefault="00EB1BBC" w:rsidP="00417B0C">
            <w:pPr>
              <w:jc w:val="left"/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PAGINA E/O</w:t>
            </w:r>
          </w:p>
          <w:p w:rsidR="00EB1BBC" w:rsidRPr="00F6762F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color w:val="FFFFFF" w:themeColor="background1"/>
                <w:sz w:val="18"/>
                <w:szCs w:val="18"/>
              </w:rPr>
            </w:pPr>
            <w:r w:rsidRPr="00F6762F">
              <w:rPr>
                <w:rFonts w:ascii="Calibri" w:hAnsi="Calibri"/>
                <w:b/>
                <w:bCs/>
                <w:color w:val="FFFFFF" w:themeColor="background1"/>
                <w:sz w:val="18"/>
                <w:szCs w:val="18"/>
              </w:rPr>
              <w:t>PARAGRAFO</w:t>
            </w:r>
          </w:p>
        </w:tc>
      </w:tr>
      <w:tr w:rsidR="00EB1BBC" w:rsidRPr="004C3343" w:rsidTr="00417B0C">
        <w:trPr>
          <w:cantSplit/>
          <w:trHeight w:val="315"/>
        </w:trPr>
        <w:tc>
          <w:tcPr>
            <w:tcW w:w="6111" w:type="dxa"/>
            <w:gridSpan w:val="2"/>
            <w:shd w:val="clear" w:color="auto" w:fill="002060"/>
            <w:vAlign w:val="center"/>
            <w:hideMark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Magnete</w:t>
            </w:r>
          </w:p>
        </w:tc>
        <w:tc>
          <w:tcPr>
            <w:tcW w:w="1984" w:type="dxa"/>
            <w:shd w:val="clear" w:color="auto" w:fill="002060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1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lastRenderedPageBreak/>
              <w:t>1.1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- Valore garantito dell'omogeneità del campo magnetico misurato tramite VRMS (almeno 24 piani, almeno 20 punti per piano), su diametro delle sfere di riferimento pari a 40 cm di diametro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1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1.2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- Valore garantito dell'omogeneità del campo magnetico misurato tramite VRMS (almeno 24 piani, almeno 20 punti per piano), su ellissoide di 50x50x45 cm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405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1.3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- Profondità del tunnel paziente inclusi i cover (cm)</w:t>
            </w:r>
            <w:r w:rsidRPr="00CB0117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15"/>
        </w:trPr>
        <w:tc>
          <w:tcPr>
            <w:tcW w:w="6111" w:type="dxa"/>
            <w:gridSpan w:val="2"/>
            <w:shd w:val="clear" w:color="auto" w:fill="002060"/>
            <w:vAlign w:val="center"/>
            <w:hideMark/>
          </w:tcPr>
          <w:p w:rsidR="00EB1BBC" w:rsidRPr="00B8481B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Tavolo </w:t>
            </w:r>
            <w:proofErr w:type="spellStart"/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>portapaziente</w:t>
            </w:r>
            <w:proofErr w:type="spellEnd"/>
          </w:p>
        </w:tc>
        <w:tc>
          <w:tcPr>
            <w:tcW w:w="1984" w:type="dxa"/>
            <w:shd w:val="clear" w:color="auto" w:fill="002060"/>
          </w:tcPr>
          <w:p w:rsidR="00EB1BBC" w:rsidRPr="00B8481B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135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1.4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- Tavolo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Portapaziente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: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</w:r>
            <w:r>
              <w:rPr>
                <w:rFonts w:ascii="Calibri" w:hAnsi="Calibri" w:cs="Trebuchet MS"/>
                <w:sz w:val="16"/>
                <w:szCs w:val="16"/>
              </w:rPr>
              <w:t>1.4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a - Soluzione tecnica che consente di trasportare il paziente su una barella/lettino e che permetta, in sala esami, di non effettuare ulteriori movimentazioni/cambi del paziente su altra barella/lettino;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</w:r>
            <w:r>
              <w:rPr>
                <w:rFonts w:ascii="Calibri" w:hAnsi="Calibri" w:cs="Trebuchet MS"/>
                <w:sz w:val="16"/>
                <w:szCs w:val="16"/>
              </w:rPr>
              <w:t>1.4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b - Tavolo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portapaziente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sganciabile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436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1.5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- Massima lunghezza scansionabile del tavolo per acquisizioni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total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body senza riposizionamento del paziente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15"/>
        </w:trPr>
        <w:tc>
          <w:tcPr>
            <w:tcW w:w="6111" w:type="dxa"/>
            <w:gridSpan w:val="2"/>
            <w:shd w:val="clear" w:color="auto" w:fill="002060"/>
            <w:vAlign w:val="center"/>
            <w:hideMark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B8481B">
              <w:rPr>
                <w:rFonts w:ascii="Calibri" w:hAnsi="Calibri" w:cs="Trebuchet MS"/>
                <w:b/>
                <w:bCs/>
                <w:sz w:val="18"/>
                <w:szCs w:val="18"/>
              </w:rPr>
              <w:t>Gradienti nel</w:t>
            </w: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 xml:space="preserve">le 3 direzioni dello spazio </w:t>
            </w:r>
            <w:proofErr w:type="spellStart"/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x,y,z</w:t>
            </w:r>
            <w:proofErr w:type="spellEnd"/>
          </w:p>
        </w:tc>
        <w:tc>
          <w:tcPr>
            <w:tcW w:w="1984" w:type="dxa"/>
            <w:shd w:val="clear" w:color="auto" w:fill="002060"/>
          </w:tcPr>
          <w:p w:rsidR="00EB1BBC" w:rsidRPr="00B8481B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616"/>
        </w:trPr>
        <w:tc>
          <w:tcPr>
            <w:tcW w:w="3984" w:type="dxa"/>
            <w:vMerge w:val="restart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6x - Massima intensità sull'asse x al massimo FOV (dichiarato al punto v19x);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</w: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6y - Massima intensità sull'asse y al massimo FOV (dichiarato al punto v19y);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</w: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6z -  Massima intensità sull'asse z al massimo   FOV (dichiarato al punto v19z)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696"/>
        </w:trPr>
        <w:tc>
          <w:tcPr>
            <w:tcW w:w="3984" w:type="dxa"/>
            <w:vMerge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10"/>
        </w:trPr>
        <w:tc>
          <w:tcPr>
            <w:tcW w:w="3984" w:type="dxa"/>
            <w:vMerge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10"/>
        </w:trPr>
        <w:tc>
          <w:tcPr>
            <w:tcW w:w="3984" w:type="dxa"/>
            <w:vMerge w:val="restart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7x -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Slew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rate sull'asse x corrispondente alla massima intensità sullo stesso asse (dichiarata al punto precedente);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</w: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7y -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Slew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rate sull'asse y corrispondente alla massima intensità sullo stesso asse (dichiarata al punto precedente);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br/>
            </w: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7z -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Slew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rate sull'asse z corrispondente alla massima intensità sullo stesso asse (dichiarata al punto precedente)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465"/>
        </w:trPr>
        <w:tc>
          <w:tcPr>
            <w:tcW w:w="3984" w:type="dxa"/>
            <w:vMerge/>
            <w:shd w:val="clear" w:color="auto" w:fill="auto"/>
            <w:vAlign w:val="center"/>
            <w:hideMark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1170"/>
        </w:trPr>
        <w:tc>
          <w:tcPr>
            <w:tcW w:w="3984" w:type="dxa"/>
            <w:vMerge/>
            <w:shd w:val="clear" w:color="auto" w:fill="auto"/>
            <w:vAlign w:val="center"/>
            <w:hideMark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25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8 - Valore del TE minimo in sequenze DWI con B=1000 in matrice 128x128 al massimo FOV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73"/>
        </w:trPr>
        <w:tc>
          <w:tcPr>
            <w:tcW w:w="6111" w:type="dxa"/>
            <w:gridSpan w:val="2"/>
            <w:shd w:val="clear" w:color="auto" w:fill="002060"/>
            <w:vAlign w:val="center"/>
            <w:hideMark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Catena di radiofrequenza</w:t>
            </w:r>
          </w:p>
        </w:tc>
        <w:tc>
          <w:tcPr>
            <w:tcW w:w="1984" w:type="dxa"/>
            <w:shd w:val="clear" w:color="auto" w:fill="002060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1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9 - Numero canali indipendenti in ricezione utilizzabili simultaneamente nel massimo FOV disponibile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1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lastRenderedPageBreak/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10 – Numero di canali delle bobine flessibili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phased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array per eseguire esami su distretti superficiali su medie e grandi articolazioni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25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11 – Copertura fisica (senza considerare lo spostamento lungo il lettino) della bobina colonna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phased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array integrata nel tavolo, almeno 16 canali attivi contemporaneamente, con possibilità di uso combinato con altre bobine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Pr="00A44BE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15"/>
        </w:trPr>
        <w:tc>
          <w:tcPr>
            <w:tcW w:w="6111" w:type="dxa"/>
            <w:gridSpan w:val="2"/>
            <w:shd w:val="clear" w:color="auto" w:fill="002060"/>
            <w:vAlign w:val="center"/>
            <w:hideMark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Sequenze di acquisizione</w:t>
            </w:r>
          </w:p>
        </w:tc>
        <w:tc>
          <w:tcPr>
            <w:tcW w:w="1984" w:type="dxa"/>
            <w:shd w:val="clear" w:color="auto" w:fill="002060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01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12 - Acquisizione in matrice 1024x1024 non interpolata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65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13 - Tecniche e sequenze per studi sul fegato con quantificazione T2*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45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14 - Tecniche di quantificazione della frazione di grasso del parenchima epatico (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Dixon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multipoint e mappe R2)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45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15 - Sequenze TSE/FSE 2D e 3D,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variable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flip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angle in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PDw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>, T1w IR Real, DIR nei distretti neuro, addome inferiore e osteoarticolare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545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16 - MTC On 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Resonance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con impulsi trinomiali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1BBC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15"/>
        </w:trPr>
        <w:tc>
          <w:tcPr>
            <w:tcW w:w="6111" w:type="dxa"/>
            <w:gridSpan w:val="2"/>
            <w:shd w:val="clear" w:color="auto" w:fill="002060"/>
            <w:vAlign w:val="center"/>
            <w:hideMark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  <w:r w:rsidRPr="004C3343">
              <w:rPr>
                <w:rFonts w:ascii="Calibri" w:hAnsi="Calibri" w:cs="Trebuchet MS"/>
                <w:b/>
                <w:bCs/>
                <w:sz w:val="18"/>
                <w:szCs w:val="18"/>
              </w:rPr>
              <w:t>Consolle di acquisizione/comando:</w:t>
            </w:r>
          </w:p>
        </w:tc>
        <w:tc>
          <w:tcPr>
            <w:tcW w:w="1984" w:type="dxa"/>
            <w:shd w:val="clear" w:color="auto" w:fill="002060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jc w:val="center"/>
              <w:rPr>
                <w:rFonts w:ascii="Calibri" w:hAnsi="Calibri" w:cs="Trebuchet MS"/>
                <w:b/>
                <w:bCs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1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17 - Sistema wireless di rilevamento e di sincronizzazione dell'attività respiratoria e ECG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810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18 - Monitor, a schermo piatto, a colori, ad alta risoluzione e di dimensioni superiore ai 19”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00"/>
        </w:trPr>
        <w:tc>
          <w:tcPr>
            <w:tcW w:w="3984" w:type="dxa"/>
            <w:vMerge w:val="restart"/>
            <w:shd w:val="clear" w:color="auto" w:fill="auto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jc w:val="lef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19x - Massima dimension</w:t>
            </w:r>
            <w:r>
              <w:rPr>
                <w:rFonts w:ascii="Calibri" w:hAnsi="Calibri" w:cs="Trebuchet MS"/>
                <w:sz w:val="16"/>
                <w:szCs w:val="16"/>
              </w:rPr>
              <w:t>e del FOV clinico sull'asse x;</w:t>
            </w:r>
            <w:r>
              <w:rPr>
                <w:rFonts w:ascii="Calibri" w:hAnsi="Calibri" w:cs="Trebuchet MS"/>
                <w:sz w:val="16"/>
                <w:szCs w:val="16"/>
              </w:rPr>
              <w:br/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19y - Massima dimension</w:t>
            </w:r>
            <w:r>
              <w:rPr>
                <w:rFonts w:ascii="Calibri" w:hAnsi="Calibri" w:cs="Trebuchet MS"/>
                <w:sz w:val="16"/>
                <w:szCs w:val="16"/>
              </w:rPr>
              <w:t>e del FOV clinico sull'asse y;</w:t>
            </w:r>
            <w:r>
              <w:rPr>
                <w:rFonts w:ascii="Calibri" w:hAnsi="Calibri" w:cs="Trebuchet MS"/>
                <w:sz w:val="16"/>
                <w:szCs w:val="16"/>
              </w:rPr>
              <w:br/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19z  - Massima dimensione del FOV clinico sull'asse </w:t>
            </w:r>
            <w:r>
              <w:rPr>
                <w:rFonts w:ascii="Calibri" w:hAnsi="Calibri" w:cs="Trebuchet MS"/>
                <w:sz w:val="16"/>
                <w:szCs w:val="16"/>
              </w:rPr>
              <w:t>z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300"/>
        </w:trPr>
        <w:tc>
          <w:tcPr>
            <w:tcW w:w="3984" w:type="dxa"/>
            <w:vMerge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745"/>
        </w:trPr>
        <w:tc>
          <w:tcPr>
            <w:tcW w:w="3984" w:type="dxa"/>
            <w:vMerge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467"/>
        </w:trPr>
        <w:tc>
          <w:tcPr>
            <w:tcW w:w="3984" w:type="dxa"/>
            <w:shd w:val="clear" w:color="auto" w:fill="auto"/>
            <w:vAlign w:val="center"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20 - Software di composizione delle immagini:</w:t>
            </w:r>
          </w:p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20a - Software di composizione automatica delle immagini tramite acquisizione di ampi campi di vista attraverso due o più FOV;</w:t>
            </w:r>
          </w:p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20b - Software di composizione delle immagini con possibilità di correzione manuale degli errori di co-registrazione nelle tre direzioni dello spazio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467"/>
        </w:trPr>
        <w:tc>
          <w:tcPr>
            <w:tcW w:w="3984" w:type="dxa"/>
            <w:shd w:val="clear" w:color="auto" w:fill="auto"/>
            <w:vAlign w:val="center"/>
            <w:hideMark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21 - Visualizzazione in matrice 2048x2048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  <w:tr w:rsidR="00EB1BBC" w:rsidRPr="004C3343" w:rsidTr="00417B0C">
        <w:trPr>
          <w:cantSplit/>
          <w:trHeight w:val="467"/>
        </w:trPr>
        <w:tc>
          <w:tcPr>
            <w:tcW w:w="3984" w:type="dxa"/>
            <w:shd w:val="clear" w:color="auto" w:fill="auto"/>
            <w:vAlign w:val="center"/>
          </w:tcPr>
          <w:p w:rsidR="00EB1BBC" w:rsidRPr="00CB0117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6"/>
                <w:szCs w:val="16"/>
              </w:rPr>
            </w:pPr>
            <w:r>
              <w:rPr>
                <w:rFonts w:ascii="Calibri" w:hAnsi="Calibri" w:cs="Trebuchet MS"/>
                <w:sz w:val="16"/>
                <w:szCs w:val="16"/>
              </w:rPr>
              <w:t>1.</w:t>
            </w:r>
            <w:r w:rsidRPr="00CB0117">
              <w:rPr>
                <w:rFonts w:ascii="Calibri" w:hAnsi="Calibri" w:cs="Trebuchet MS"/>
                <w:sz w:val="16"/>
                <w:szCs w:val="16"/>
              </w:rPr>
              <w:t>22 –</w:t>
            </w:r>
            <w:proofErr w:type="spellStart"/>
            <w:r w:rsidRPr="00CB0117">
              <w:rPr>
                <w:rFonts w:ascii="Calibri" w:hAnsi="Calibri" w:cs="Trebuchet MS"/>
                <w:sz w:val="16"/>
                <w:szCs w:val="16"/>
              </w:rPr>
              <w:t>Angio</w:t>
            </w:r>
            <w:proofErr w:type="spellEnd"/>
            <w:r w:rsidRPr="00CB0117">
              <w:rPr>
                <w:rFonts w:ascii="Calibri" w:hAnsi="Calibri" w:cs="Trebuchet MS"/>
                <w:sz w:val="16"/>
                <w:szCs w:val="16"/>
              </w:rPr>
              <w:t xml:space="preserve"> CE 4D e relativo software di elaborazione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1BBC" w:rsidRPr="004C3343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1BBC" w:rsidRDefault="00EB1BBC" w:rsidP="00417B0C">
            <w:pPr>
              <w:pStyle w:val="BodyText22"/>
              <w:widowControl w:val="0"/>
              <w:spacing w:line="300" w:lineRule="exact"/>
              <w:rPr>
                <w:rFonts w:ascii="Calibri" w:hAnsi="Calibri" w:cs="Trebuchet MS"/>
                <w:sz w:val="18"/>
                <w:szCs w:val="18"/>
              </w:rPr>
            </w:pPr>
          </w:p>
        </w:tc>
      </w:tr>
    </w:tbl>
    <w:p w:rsidR="00EB1BBC" w:rsidRDefault="00EB1BBC" w:rsidP="00EB1BBC">
      <w:pPr>
        <w:rPr>
          <w:rFonts w:ascii="Calibri" w:hAnsi="Calibri"/>
          <w:b/>
          <w:sz w:val="20"/>
          <w:szCs w:val="20"/>
        </w:rPr>
      </w:pPr>
    </w:p>
    <w:p w:rsidR="00EB1BBC" w:rsidRPr="001D01D0" w:rsidRDefault="00EB1BBC" w:rsidP="00EB1BBC">
      <w:pPr>
        <w:spacing w:line="300" w:lineRule="exact"/>
        <w:rPr>
          <w:rFonts w:ascii="Calibri" w:hAnsi="Calibri"/>
          <w:b/>
          <w:sz w:val="20"/>
          <w:szCs w:val="20"/>
        </w:rPr>
      </w:pPr>
      <w:r w:rsidRPr="001D01D0">
        <w:rPr>
          <w:rFonts w:ascii="Calibri" w:hAnsi="Calibri"/>
          <w:b/>
          <w:sz w:val="20"/>
          <w:szCs w:val="20"/>
        </w:rPr>
        <w:t xml:space="preserve">Si evidenzia la possibilità, esclusivamente per le caratteristiche tecniche relative alla conformità </w:t>
      </w:r>
      <w:proofErr w:type="spellStart"/>
      <w:r w:rsidRPr="001D01D0">
        <w:rPr>
          <w:rFonts w:ascii="Calibri" w:hAnsi="Calibri"/>
          <w:b/>
          <w:sz w:val="20"/>
          <w:szCs w:val="20"/>
        </w:rPr>
        <w:t>Dicom</w:t>
      </w:r>
      <w:proofErr w:type="spellEnd"/>
      <w:r w:rsidRPr="001D01D0">
        <w:rPr>
          <w:rFonts w:ascii="Calibri" w:hAnsi="Calibri"/>
          <w:b/>
          <w:sz w:val="20"/>
          <w:szCs w:val="20"/>
        </w:rPr>
        <w:t>, di presentare il documento “</w:t>
      </w:r>
      <w:proofErr w:type="spellStart"/>
      <w:r w:rsidRPr="001D01D0">
        <w:rPr>
          <w:rFonts w:ascii="Calibri" w:hAnsi="Calibri"/>
          <w:b/>
          <w:i/>
          <w:sz w:val="20"/>
          <w:szCs w:val="20"/>
        </w:rPr>
        <w:t>Dicom</w:t>
      </w:r>
      <w:proofErr w:type="spellEnd"/>
      <w:r w:rsidRPr="001D01D0">
        <w:rPr>
          <w:rFonts w:ascii="Calibri" w:hAnsi="Calibri"/>
          <w:b/>
          <w:i/>
          <w:sz w:val="20"/>
          <w:szCs w:val="20"/>
        </w:rPr>
        <w:t xml:space="preserve"> </w:t>
      </w:r>
      <w:proofErr w:type="spellStart"/>
      <w:r w:rsidRPr="001D01D0">
        <w:rPr>
          <w:rFonts w:ascii="Calibri" w:hAnsi="Calibri"/>
          <w:b/>
          <w:i/>
          <w:sz w:val="20"/>
          <w:szCs w:val="20"/>
        </w:rPr>
        <w:t>Conformance</w:t>
      </w:r>
      <w:proofErr w:type="spellEnd"/>
      <w:r w:rsidRPr="001D01D0">
        <w:rPr>
          <w:rFonts w:ascii="Calibri" w:hAnsi="Calibri"/>
          <w:b/>
          <w:i/>
          <w:sz w:val="20"/>
          <w:szCs w:val="20"/>
        </w:rPr>
        <w:t xml:space="preserve"> statement</w:t>
      </w:r>
      <w:r w:rsidRPr="001D01D0">
        <w:rPr>
          <w:rFonts w:ascii="Calibri" w:hAnsi="Calibri"/>
          <w:b/>
          <w:sz w:val="20"/>
          <w:szCs w:val="20"/>
        </w:rPr>
        <w:t>” in lingua inglese, anche non accompagnato da traduzione giurata in lingua italiana.</w:t>
      </w:r>
    </w:p>
    <w:p w:rsidR="00EB1BBC" w:rsidRPr="001D01D0" w:rsidRDefault="00EB1BBC" w:rsidP="00EB1BBC">
      <w:pPr>
        <w:rPr>
          <w:rFonts w:ascii="Calibri" w:hAnsi="Calibri"/>
          <w:b/>
          <w:sz w:val="20"/>
          <w:szCs w:val="20"/>
        </w:rPr>
      </w:pP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  <w:r w:rsidRPr="001D01D0">
        <w:rPr>
          <w:rFonts w:ascii="Calibri" w:hAnsi="Calibri"/>
          <w:b/>
          <w:sz w:val="20"/>
          <w:szCs w:val="20"/>
        </w:rPr>
        <w:t>Le caratteristiche contrassegnate con “N/A” non saranno sottoposte né a comprova documentale né all’eventuale verifica tecnica.</w:t>
      </w:r>
    </w:p>
    <w:p w:rsidR="00EB1BBC" w:rsidRDefault="00EB1BBC" w:rsidP="00EB1BBC">
      <w:pPr>
        <w:rPr>
          <w:rFonts w:ascii="Calibri" w:hAnsi="Calibri"/>
          <w:b/>
          <w:sz w:val="20"/>
          <w:szCs w:val="20"/>
        </w:rPr>
      </w:pPr>
    </w:p>
    <w:p w:rsidR="00EB1BBC" w:rsidRDefault="00EB1BBC" w:rsidP="00C35CCA">
      <w:pPr>
        <w:rPr>
          <w:rFonts w:ascii="Calibri" w:hAnsi="Calibri"/>
          <w:b/>
          <w:sz w:val="20"/>
          <w:szCs w:val="20"/>
        </w:rPr>
      </w:pPr>
    </w:p>
    <w:p w:rsidR="00EB1BBC" w:rsidRDefault="00EB1BBC" w:rsidP="00C35CCA">
      <w:pPr>
        <w:rPr>
          <w:rFonts w:ascii="Calibri" w:hAnsi="Calibri"/>
          <w:b/>
          <w:sz w:val="20"/>
          <w:szCs w:val="20"/>
        </w:rPr>
      </w:pPr>
    </w:p>
    <w:p w:rsidR="00C35CCA" w:rsidRPr="00CB0117" w:rsidRDefault="00C35CCA" w:rsidP="00EB1BBC">
      <w:pPr>
        <w:rPr>
          <w:rFonts w:ascii="Calibri" w:hAnsi="Calibri"/>
          <w:b/>
          <w:sz w:val="20"/>
          <w:szCs w:val="20"/>
        </w:rPr>
      </w:pPr>
    </w:p>
    <w:sectPr w:rsidR="00C35CCA" w:rsidRPr="00CB0117" w:rsidSect="00DE599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33" w:rsidRDefault="00D23F33">
      <w:r>
        <w:separator/>
      </w:r>
    </w:p>
  </w:endnote>
  <w:endnote w:type="continuationSeparator" w:id="0">
    <w:p w:rsidR="00D23F33" w:rsidRDefault="00D2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A41450" w:rsidRPr="00891993" w:rsidTr="008A6F49">
      <w:trPr>
        <w:cantSplit/>
      </w:trPr>
      <w:tc>
        <w:tcPr>
          <w:tcW w:w="4333" w:type="pct"/>
        </w:tcPr>
        <w:p w:rsidR="00A41450" w:rsidRPr="00891993" w:rsidRDefault="00A41450" w:rsidP="00385F0F">
          <w:pPr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Classificazione del documento: Consip </w:t>
          </w:r>
          <w:r>
            <w:rPr>
              <w:rFonts w:ascii="Calibri" w:hAnsi="Calibri"/>
              <w:sz w:val="16"/>
              <w:szCs w:val="16"/>
            </w:rPr>
            <w:t>Public</w:t>
          </w:r>
        </w:p>
        <w:p w:rsidR="00A41450" w:rsidRDefault="00A41450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Gara a p</w:t>
          </w:r>
          <w:r w:rsidRPr="00C71F7F">
            <w:rPr>
              <w:rFonts w:ascii="Calibri" w:hAnsi="Calibri"/>
              <w:sz w:val="16"/>
              <w:szCs w:val="16"/>
            </w:rPr>
            <w:t xml:space="preserve">rocedura aperta per l’affidamento della fornitura in </w:t>
          </w:r>
          <w:proofErr w:type="spellStart"/>
          <w:r>
            <w:rPr>
              <w:rFonts w:ascii="Calibri" w:hAnsi="Calibri"/>
              <w:sz w:val="16"/>
              <w:szCs w:val="16"/>
            </w:rPr>
            <w:t>P</w:t>
          </w:r>
          <w:r w:rsidRPr="00C71F7F">
            <w:rPr>
              <w:rFonts w:ascii="Calibri" w:hAnsi="Calibri"/>
              <w:sz w:val="16"/>
              <w:szCs w:val="16"/>
            </w:rPr>
            <w:t>ay</w:t>
          </w:r>
          <w:proofErr w:type="spellEnd"/>
          <w:r w:rsidRPr="00C71F7F">
            <w:rPr>
              <w:rFonts w:ascii="Calibri" w:hAnsi="Calibri"/>
              <w:sz w:val="16"/>
              <w:szCs w:val="16"/>
            </w:rPr>
            <w:t xml:space="preserve"> per </w:t>
          </w:r>
          <w:r>
            <w:rPr>
              <w:rFonts w:ascii="Calibri" w:hAnsi="Calibri"/>
              <w:sz w:val="16"/>
              <w:szCs w:val="16"/>
            </w:rPr>
            <w:t>U</w:t>
          </w:r>
          <w:r w:rsidRPr="00C71F7F">
            <w:rPr>
              <w:rFonts w:ascii="Calibri" w:hAnsi="Calibri"/>
              <w:sz w:val="16"/>
              <w:szCs w:val="16"/>
            </w:rPr>
            <w:t xml:space="preserve">se di Tomografi Computerizzati (TC) e Tomografi a Risonanza Magnetica (RM), servizi connessi, dispositivi e servizi accessori per le Pubbliche Amministrazioni ai sensi dell’art. 26 legge n. 488/1999 e </w:t>
          </w:r>
          <w:proofErr w:type="spellStart"/>
          <w:r w:rsidRPr="00C71F7F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C71F7F">
            <w:rPr>
              <w:rFonts w:ascii="Calibri" w:hAnsi="Calibri"/>
              <w:sz w:val="16"/>
              <w:szCs w:val="16"/>
            </w:rPr>
            <w:t xml:space="preserve"> e dell’art. 58 legge n. 388/2000</w:t>
          </w:r>
          <w:r>
            <w:rPr>
              <w:rFonts w:ascii="Calibri" w:hAnsi="Calibri"/>
              <w:sz w:val="16"/>
              <w:szCs w:val="16"/>
            </w:rPr>
            <w:t xml:space="preserve"> – ID1930</w:t>
          </w:r>
        </w:p>
        <w:p w:rsidR="00A41450" w:rsidRPr="00891993" w:rsidRDefault="00A41450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13</w:t>
          </w:r>
          <w:r w:rsidRPr="00891993">
            <w:rPr>
              <w:rFonts w:ascii="Calibri" w:hAnsi="Calibri"/>
              <w:sz w:val="16"/>
              <w:szCs w:val="16"/>
            </w:rPr>
            <w:t xml:space="preserve"> – Riferimenti documentali</w:t>
          </w:r>
        </w:p>
      </w:tc>
      <w:tc>
        <w:tcPr>
          <w:tcW w:w="667" w:type="pct"/>
        </w:tcPr>
        <w:p w:rsidR="00A41450" w:rsidRPr="00891993" w:rsidRDefault="00A41450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830AD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830AD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14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A41450" w:rsidRDefault="00A414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A41450" w:rsidRPr="00E30320" w:rsidTr="00E30320">
      <w:trPr>
        <w:cantSplit/>
      </w:trPr>
      <w:tc>
        <w:tcPr>
          <w:tcW w:w="4333" w:type="pct"/>
        </w:tcPr>
        <w:p w:rsidR="00A41450" w:rsidRPr="00E30320" w:rsidRDefault="00A41450" w:rsidP="00F401C5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Classificazione del documento: Consip </w:t>
          </w:r>
          <w:r>
            <w:rPr>
              <w:rFonts w:ascii="Calibri" w:hAnsi="Calibri"/>
              <w:sz w:val="16"/>
              <w:szCs w:val="16"/>
            </w:rPr>
            <w:t>Public</w:t>
          </w:r>
        </w:p>
        <w:p w:rsidR="00A41450" w:rsidRDefault="00A41450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Gara a p</w:t>
          </w:r>
          <w:r w:rsidRPr="00C71F7F">
            <w:rPr>
              <w:rFonts w:ascii="Calibri" w:hAnsi="Calibri"/>
              <w:sz w:val="16"/>
              <w:szCs w:val="16"/>
            </w:rPr>
            <w:t xml:space="preserve">rocedura aperta per l’affidamento della fornitura in </w:t>
          </w:r>
          <w:proofErr w:type="spellStart"/>
          <w:r>
            <w:rPr>
              <w:rFonts w:ascii="Calibri" w:hAnsi="Calibri"/>
              <w:sz w:val="16"/>
              <w:szCs w:val="16"/>
            </w:rPr>
            <w:t>P</w:t>
          </w:r>
          <w:r w:rsidRPr="00C71F7F">
            <w:rPr>
              <w:rFonts w:ascii="Calibri" w:hAnsi="Calibri"/>
              <w:sz w:val="16"/>
              <w:szCs w:val="16"/>
            </w:rPr>
            <w:t>ay</w:t>
          </w:r>
          <w:proofErr w:type="spellEnd"/>
          <w:r w:rsidRPr="00C71F7F">
            <w:rPr>
              <w:rFonts w:ascii="Calibri" w:hAnsi="Calibri"/>
              <w:sz w:val="16"/>
              <w:szCs w:val="16"/>
            </w:rPr>
            <w:t xml:space="preserve"> per </w:t>
          </w:r>
          <w:r>
            <w:rPr>
              <w:rFonts w:ascii="Calibri" w:hAnsi="Calibri"/>
              <w:sz w:val="16"/>
              <w:szCs w:val="16"/>
            </w:rPr>
            <w:t>U</w:t>
          </w:r>
          <w:r w:rsidRPr="00C71F7F">
            <w:rPr>
              <w:rFonts w:ascii="Calibri" w:hAnsi="Calibri"/>
              <w:sz w:val="16"/>
              <w:szCs w:val="16"/>
            </w:rPr>
            <w:t xml:space="preserve">se di Tomografi Computerizzati (TC) e Tomografi a Risonanza Magnetica (RM), servizi connessi, dispositivi e servizi accessori per le Pubbliche Amministrazioni ai sensi dell’art. 26 legge n. 488/1999 e </w:t>
          </w:r>
          <w:proofErr w:type="spellStart"/>
          <w:r w:rsidRPr="00C71F7F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C71F7F">
            <w:rPr>
              <w:rFonts w:ascii="Calibri" w:hAnsi="Calibri"/>
              <w:sz w:val="16"/>
              <w:szCs w:val="16"/>
            </w:rPr>
            <w:t xml:space="preserve"> e dell’art. 58 legge n. 388/2000</w:t>
          </w:r>
          <w:r>
            <w:rPr>
              <w:rFonts w:ascii="Calibri" w:hAnsi="Calibri"/>
              <w:sz w:val="16"/>
              <w:szCs w:val="16"/>
            </w:rPr>
            <w:t xml:space="preserve"> – ID1930</w:t>
          </w:r>
        </w:p>
        <w:p w:rsidR="00A41450" w:rsidRPr="00E30320" w:rsidRDefault="00A41450" w:rsidP="003378F3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Allegato </w:t>
          </w:r>
          <w:r>
            <w:rPr>
              <w:rFonts w:ascii="Calibri" w:hAnsi="Calibri"/>
              <w:sz w:val="16"/>
              <w:szCs w:val="16"/>
            </w:rPr>
            <w:t>13</w:t>
          </w:r>
          <w:r w:rsidRPr="00E30320">
            <w:rPr>
              <w:rFonts w:ascii="Calibri" w:hAnsi="Calibri"/>
              <w:sz w:val="16"/>
              <w:szCs w:val="16"/>
            </w:rPr>
            <w:t xml:space="preserve"> – Riferimenti documentali</w:t>
          </w:r>
        </w:p>
      </w:tc>
      <w:tc>
        <w:tcPr>
          <w:tcW w:w="667" w:type="pct"/>
        </w:tcPr>
        <w:p w:rsidR="00A41450" w:rsidRPr="00E30320" w:rsidRDefault="00A41450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830AD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830AD8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14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A41450" w:rsidRDefault="00A414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33" w:rsidRDefault="00D23F33">
      <w:r>
        <w:separator/>
      </w:r>
    </w:p>
  </w:footnote>
  <w:footnote w:type="continuationSeparator" w:id="0">
    <w:p w:rsidR="00D23F33" w:rsidRDefault="00D2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50" w:rsidRDefault="00A41450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CA041E7" wp14:editId="4B0CFEE1">
          <wp:simplePos x="0" y="0"/>
          <wp:positionH relativeFrom="column">
            <wp:posOffset>-1260475</wp:posOffset>
          </wp:positionH>
          <wp:positionV relativeFrom="paragraph">
            <wp:posOffset>-447040</wp:posOffset>
          </wp:positionV>
          <wp:extent cx="1185545" cy="1085215"/>
          <wp:effectExtent l="19050" t="0" r="0" b="0"/>
          <wp:wrapTight wrapText="bothSides">
            <wp:wrapPolygon edited="0">
              <wp:start x="-347" y="0"/>
              <wp:lineTo x="-347" y="21233"/>
              <wp:lineTo x="21519" y="21233"/>
              <wp:lineTo x="21519" y="0"/>
              <wp:lineTo x="-347" y="0"/>
            </wp:wrapPolygon>
          </wp:wrapTight>
          <wp:docPr id="2" name="Immagine 2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50" w:rsidRDefault="00A4145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9ACDE9" wp14:editId="69DA4B1E">
          <wp:simplePos x="0" y="0"/>
          <wp:positionH relativeFrom="column">
            <wp:posOffset>-1260475</wp:posOffset>
          </wp:positionH>
          <wp:positionV relativeFrom="paragraph">
            <wp:posOffset>-449580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3" name="Immagine 3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17F5F47"/>
    <w:multiLevelType w:val="hybridMultilevel"/>
    <w:tmpl w:val="02164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D71B5"/>
    <w:multiLevelType w:val="hybridMultilevel"/>
    <w:tmpl w:val="142E9E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B807AB"/>
    <w:multiLevelType w:val="hybridMultilevel"/>
    <w:tmpl w:val="C8585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9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3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3"/>
  </w:num>
  <w:num w:numId="6">
    <w:abstractNumId w:val="16"/>
  </w:num>
  <w:num w:numId="7">
    <w:abstractNumId w:val="14"/>
  </w:num>
  <w:num w:numId="8">
    <w:abstractNumId w:val="18"/>
  </w:num>
  <w:num w:numId="9">
    <w:abstractNumId w:val="23"/>
  </w:num>
  <w:num w:numId="10">
    <w:abstractNumId w:val="10"/>
  </w:num>
  <w:num w:numId="11">
    <w:abstractNumId w:val="19"/>
  </w:num>
  <w:num w:numId="12">
    <w:abstractNumId w:val="15"/>
  </w:num>
  <w:num w:numId="13">
    <w:abstractNumId w:val="4"/>
  </w:num>
  <w:num w:numId="14">
    <w:abstractNumId w:val="22"/>
  </w:num>
  <w:num w:numId="15">
    <w:abstractNumId w:val="11"/>
  </w:num>
  <w:num w:numId="16">
    <w:abstractNumId w:val="2"/>
  </w:num>
  <w:num w:numId="17">
    <w:abstractNumId w:val="12"/>
  </w:num>
  <w:num w:numId="18">
    <w:abstractNumId w:val="5"/>
  </w:num>
  <w:num w:numId="19">
    <w:abstractNumId w:val="21"/>
  </w:num>
  <w:num w:numId="20">
    <w:abstractNumId w:val="17"/>
  </w:num>
  <w:num w:numId="21">
    <w:abstractNumId w:val="20"/>
  </w:num>
  <w:num w:numId="22">
    <w:abstractNumId w:val="8"/>
  </w:num>
  <w:num w:numId="23">
    <w:abstractNumId w:val="1"/>
  </w:num>
  <w:num w:numId="24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49DA"/>
    <w:rsid w:val="00005579"/>
    <w:rsid w:val="000056E4"/>
    <w:rsid w:val="00006A69"/>
    <w:rsid w:val="000108EE"/>
    <w:rsid w:val="00010EFD"/>
    <w:rsid w:val="00012A90"/>
    <w:rsid w:val="000140C8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F21"/>
    <w:rsid w:val="000556DB"/>
    <w:rsid w:val="00057707"/>
    <w:rsid w:val="0006089D"/>
    <w:rsid w:val="00060F55"/>
    <w:rsid w:val="000610AD"/>
    <w:rsid w:val="000621A0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67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73A"/>
    <w:rsid w:val="000B2848"/>
    <w:rsid w:val="000B2EED"/>
    <w:rsid w:val="000B3B7A"/>
    <w:rsid w:val="000B57FA"/>
    <w:rsid w:val="000C0BB1"/>
    <w:rsid w:val="000C1885"/>
    <w:rsid w:val="000C2AEE"/>
    <w:rsid w:val="000C3446"/>
    <w:rsid w:val="000C3884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E01FF"/>
    <w:rsid w:val="000E2280"/>
    <w:rsid w:val="000E2631"/>
    <w:rsid w:val="000E3CFD"/>
    <w:rsid w:val="000E66E6"/>
    <w:rsid w:val="000E6AE8"/>
    <w:rsid w:val="000F5E5C"/>
    <w:rsid w:val="000F6350"/>
    <w:rsid w:val="000F6A7C"/>
    <w:rsid w:val="000F6F5A"/>
    <w:rsid w:val="000F7C90"/>
    <w:rsid w:val="0010018A"/>
    <w:rsid w:val="00100C96"/>
    <w:rsid w:val="00101EA8"/>
    <w:rsid w:val="00101FB0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27270"/>
    <w:rsid w:val="001326E8"/>
    <w:rsid w:val="00133BB4"/>
    <w:rsid w:val="00134704"/>
    <w:rsid w:val="00134A15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55D81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47E5"/>
    <w:rsid w:val="001C684F"/>
    <w:rsid w:val="001C7A5E"/>
    <w:rsid w:val="001C7F81"/>
    <w:rsid w:val="001D01D0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73B"/>
    <w:rsid w:val="0020441A"/>
    <w:rsid w:val="00204A32"/>
    <w:rsid w:val="002052E8"/>
    <w:rsid w:val="002067F0"/>
    <w:rsid w:val="00210294"/>
    <w:rsid w:val="00211AD8"/>
    <w:rsid w:val="00211E9C"/>
    <w:rsid w:val="00212294"/>
    <w:rsid w:val="002128B0"/>
    <w:rsid w:val="0021380D"/>
    <w:rsid w:val="00213E3B"/>
    <w:rsid w:val="0021445A"/>
    <w:rsid w:val="00216987"/>
    <w:rsid w:val="002173F1"/>
    <w:rsid w:val="00217933"/>
    <w:rsid w:val="00225364"/>
    <w:rsid w:val="00226FAD"/>
    <w:rsid w:val="00227C16"/>
    <w:rsid w:val="00227D85"/>
    <w:rsid w:val="002316E6"/>
    <w:rsid w:val="002352D0"/>
    <w:rsid w:val="00236E3B"/>
    <w:rsid w:val="00236E8A"/>
    <w:rsid w:val="0024340F"/>
    <w:rsid w:val="00243C62"/>
    <w:rsid w:val="00245745"/>
    <w:rsid w:val="00247D52"/>
    <w:rsid w:val="0025058D"/>
    <w:rsid w:val="002507D1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3AE8"/>
    <w:rsid w:val="002766D5"/>
    <w:rsid w:val="00277277"/>
    <w:rsid w:val="002800F1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0718"/>
    <w:rsid w:val="002A3A72"/>
    <w:rsid w:val="002A4339"/>
    <w:rsid w:val="002A51BB"/>
    <w:rsid w:val="002A6E25"/>
    <w:rsid w:val="002A79C1"/>
    <w:rsid w:val="002A7E26"/>
    <w:rsid w:val="002B093C"/>
    <w:rsid w:val="002B2D1A"/>
    <w:rsid w:val="002B6539"/>
    <w:rsid w:val="002B699B"/>
    <w:rsid w:val="002B771C"/>
    <w:rsid w:val="002B77AD"/>
    <w:rsid w:val="002B79E0"/>
    <w:rsid w:val="002C1FEB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511A4"/>
    <w:rsid w:val="003527AD"/>
    <w:rsid w:val="0035528C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19A"/>
    <w:rsid w:val="003673C6"/>
    <w:rsid w:val="00367EA6"/>
    <w:rsid w:val="003712E3"/>
    <w:rsid w:val="0037236B"/>
    <w:rsid w:val="003726CC"/>
    <w:rsid w:val="00376F0D"/>
    <w:rsid w:val="00377045"/>
    <w:rsid w:val="003804E0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D2B"/>
    <w:rsid w:val="003B2B8F"/>
    <w:rsid w:val="003B3C56"/>
    <w:rsid w:val="003B5902"/>
    <w:rsid w:val="003B72D8"/>
    <w:rsid w:val="003B792B"/>
    <w:rsid w:val="003C07D1"/>
    <w:rsid w:val="003C35EE"/>
    <w:rsid w:val="003C3AA7"/>
    <w:rsid w:val="003C3C8F"/>
    <w:rsid w:val="003C449C"/>
    <w:rsid w:val="003C4A54"/>
    <w:rsid w:val="003C630D"/>
    <w:rsid w:val="003C77DE"/>
    <w:rsid w:val="003C799E"/>
    <w:rsid w:val="003D0561"/>
    <w:rsid w:val="003D0AAC"/>
    <w:rsid w:val="003D0E81"/>
    <w:rsid w:val="003D0EB3"/>
    <w:rsid w:val="003D19E8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BA2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27961"/>
    <w:rsid w:val="00430970"/>
    <w:rsid w:val="00433427"/>
    <w:rsid w:val="00433A22"/>
    <w:rsid w:val="00434178"/>
    <w:rsid w:val="00435C06"/>
    <w:rsid w:val="00437462"/>
    <w:rsid w:val="00440A7F"/>
    <w:rsid w:val="00440CC7"/>
    <w:rsid w:val="004425CF"/>
    <w:rsid w:val="00442BCA"/>
    <w:rsid w:val="00443FC5"/>
    <w:rsid w:val="0044414C"/>
    <w:rsid w:val="00445080"/>
    <w:rsid w:val="0044563A"/>
    <w:rsid w:val="00451BA5"/>
    <w:rsid w:val="004521BE"/>
    <w:rsid w:val="00455409"/>
    <w:rsid w:val="00456549"/>
    <w:rsid w:val="00456DF5"/>
    <w:rsid w:val="0046373F"/>
    <w:rsid w:val="00464211"/>
    <w:rsid w:val="0046440C"/>
    <w:rsid w:val="00464811"/>
    <w:rsid w:val="00464AC4"/>
    <w:rsid w:val="00464BC1"/>
    <w:rsid w:val="00466EE3"/>
    <w:rsid w:val="00467EE6"/>
    <w:rsid w:val="0047009F"/>
    <w:rsid w:val="00470340"/>
    <w:rsid w:val="004713F0"/>
    <w:rsid w:val="004715EA"/>
    <w:rsid w:val="00471D7A"/>
    <w:rsid w:val="0047347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30C18"/>
    <w:rsid w:val="00531E42"/>
    <w:rsid w:val="00531ED6"/>
    <w:rsid w:val="005324DC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57AA"/>
    <w:rsid w:val="0059684E"/>
    <w:rsid w:val="005976F1"/>
    <w:rsid w:val="005A0CFA"/>
    <w:rsid w:val="005A2612"/>
    <w:rsid w:val="005A3005"/>
    <w:rsid w:val="005A3529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A8C"/>
    <w:rsid w:val="005E1F45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2F68"/>
    <w:rsid w:val="00604D38"/>
    <w:rsid w:val="00604DA9"/>
    <w:rsid w:val="006106FB"/>
    <w:rsid w:val="00610B0C"/>
    <w:rsid w:val="00612402"/>
    <w:rsid w:val="00614D98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8BD"/>
    <w:rsid w:val="00656151"/>
    <w:rsid w:val="0065618D"/>
    <w:rsid w:val="006610A0"/>
    <w:rsid w:val="0066117D"/>
    <w:rsid w:val="00662118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2D9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3DA9"/>
    <w:rsid w:val="007055EF"/>
    <w:rsid w:val="0071166E"/>
    <w:rsid w:val="0071223C"/>
    <w:rsid w:val="007123F5"/>
    <w:rsid w:val="00712FB4"/>
    <w:rsid w:val="0071331F"/>
    <w:rsid w:val="0071626F"/>
    <w:rsid w:val="007163A9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535C"/>
    <w:rsid w:val="00736F7E"/>
    <w:rsid w:val="007416D6"/>
    <w:rsid w:val="00742F85"/>
    <w:rsid w:val="0074313B"/>
    <w:rsid w:val="00744C9C"/>
    <w:rsid w:val="007465E8"/>
    <w:rsid w:val="0074679D"/>
    <w:rsid w:val="00747BCB"/>
    <w:rsid w:val="00750384"/>
    <w:rsid w:val="00752C57"/>
    <w:rsid w:val="0075401A"/>
    <w:rsid w:val="00754602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8012A"/>
    <w:rsid w:val="00781AA7"/>
    <w:rsid w:val="00781BCC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F45"/>
    <w:rsid w:val="007D1AF1"/>
    <w:rsid w:val="007D27DB"/>
    <w:rsid w:val="007D3971"/>
    <w:rsid w:val="007D648B"/>
    <w:rsid w:val="007D671C"/>
    <w:rsid w:val="007E0327"/>
    <w:rsid w:val="007E080D"/>
    <w:rsid w:val="007E17AB"/>
    <w:rsid w:val="007E6E6A"/>
    <w:rsid w:val="007E707C"/>
    <w:rsid w:val="007E76AC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3CD"/>
    <w:rsid w:val="00805548"/>
    <w:rsid w:val="0080610D"/>
    <w:rsid w:val="00806407"/>
    <w:rsid w:val="008071BB"/>
    <w:rsid w:val="0080771E"/>
    <w:rsid w:val="008102E4"/>
    <w:rsid w:val="00810814"/>
    <w:rsid w:val="008119F8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8FC"/>
    <w:rsid w:val="00825FEE"/>
    <w:rsid w:val="00826827"/>
    <w:rsid w:val="00826CFA"/>
    <w:rsid w:val="00830017"/>
    <w:rsid w:val="00830839"/>
    <w:rsid w:val="00830AD8"/>
    <w:rsid w:val="00830D4A"/>
    <w:rsid w:val="008315BB"/>
    <w:rsid w:val="00833E73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3A20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2C52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3CF"/>
    <w:rsid w:val="008A1A1E"/>
    <w:rsid w:val="008A20F2"/>
    <w:rsid w:val="008A35B0"/>
    <w:rsid w:val="008A6F49"/>
    <w:rsid w:val="008A7AA9"/>
    <w:rsid w:val="008B0B8A"/>
    <w:rsid w:val="008B0C0E"/>
    <w:rsid w:val="008B32E2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E06"/>
    <w:rsid w:val="008D061D"/>
    <w:rsid w:val="008D089C"/>
    <w:rsid w:val="008D0B79"/>
    <w:rsid w:val="008D0BB0"/>
    <w:rsid w:val="008D0FA7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65A2"/>
    <w:rsid w:val="008E76E6"/>
    <w:rsid w:val="008E7D76"/>
    <w:rsid w:val="008F24FF"/>
    <w:rsid w:val="008F4C46"/>
    <w:rsid w:val="008F4EDE"/>
    <w:rsid w:val="008F6715"/>
    <w:rsid w:val="008F76C5"/>
    <w:rsid w:val="00903481"/>
    <w:rsid w:val="00903621"/>
    <w:rsid w:val="0090382F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63E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9A6"/>
    <w:rsid w:val="00955E42"/>
    <w:rsid w:val="00957E5B"/>
    <w:rsid w:val="00960746"/>
    <w:rsid w:val="009608D8"/>
    <w:rsid w:val="00961925"/>
    <w:rsid w:val="0096197E"/>
    <w:rsid w:val="00962647"/>
    <w:rsid w:val="00963CC8"/>
    <w:rsid w:val="00964EEC"/>
    <w:rsid w:val="009654FA"/>
    <w:rsid w:val="00966C40"/>
    <w:rsid w:val="00966E8B"/>
    <w:rsid w:val="00967E36"/>
    <w:rsid w:val="00973F60"/>
    <w:rsid w:val="009750E3"/>
    <w:rsid w:val="00975712"/>
    <w:rsid w:val="00975FEE"/>
    <w:rsid w:val="0098149E"/>
    <w:rsid w:val="00981A1F"/>
    <w:rsid w:val="009840B2"/>
    <w:rsid w:val="00984AC0"/>
    <w:rsid w:val="009861A4"/>
    <w:rsid w:val="009869B3"/>
    <w:rsid w:val="00986FA8"/>
    <w:rsid w:val="00987198"/>
    <w:rsid w:val="009874D5"/>
    <w:rsid w:val="00987692"/>
    <w:rsid w:val="00991FD8"/>
    <w:rsid w:val="00992894"/>
    <w:rsid w:val="00993352"/>
    <w:rsid w:val="00993855"/>
    <w:rsid w:val="00995149"/>
    <w:rsid w:val="00996962"/>
    <w:rsid w:val="009A0D55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11E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553A"/>
    <w:rsid w:val="00A16D96"/>
    <w:rsid w:val="00A20106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450"/>
    <w:rsid w:val="00A418D8"/>
    <w:rsid w:val="00A41DEC"/>
    <w:rsid w:val="00A43AAC"/>
    <w:rsid w:val="00A443B9"/>
    <w:rsid w:val="00A50CA9"/>
    <w:rsid w:val="00A51D28"/>
    <w:rsid w:val="00A51DC5"/>
    <w:rsid w:val="00A51FC3"/>
    <w:rsid w:val="00A5440B"/>
    <w:rsid w:val="00A546B1"/>
    <w:rsid w:val="00A54BE2"/>
    <w:rsid w:val="00A54F2A"/>
    <w:rsid w:val="00A551A0"/>
    <w:rsid w:val="00A5568F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9AE"/>
    <w:rsid w:val="00A83EB3"/>
    <w:rsid w:val="00A86242"/>
    <w:rsid w:val="00A863AC"/>
    <w:rsid w:val="00A868FD"/>
    <w:rsid w:val="00A8749A"/>
    <w:rsid w:val="00A957AA"/>
    <w:rsid w:val="00A95985"/>
    <w:rsid w:val="00A959B9"/>
    <w:rsid w:val="00A96701"/>
    <w:rsid w:val="00A97A1C"/>
    <w:rsid w:val="00AA00BB"/>
    <w:rsid w:val="00AA2D65"/>
    <w:rsid w:val="00AA366E"/>
    <w:rsid w:val="00AA556F"/>
    <w:rsid w:val="00AA5644"/>
    <w:rsid w:val="00AA763F"/>
    <w:rsid w:val="00AA7D89"/>
    <w:rsid w:val="00AB1154"/>
    <w:rsid w:val="00AB2BB4"/>
    <w:rsid w:val="00AB3688"/>
    <w:rsid w:val="00AB46D9"/>
    <w:rsid w:val="00AB567D"/>
    <w:rsid w:val="00AB5A4A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CAF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A6B"/>
    <w:rsid w:val="00B22408"/>
    <w:rsid w:val="00B23A5E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3F9"/>
    <w:rsid w:val="00B40C5C"/>
    <w:rsid w:val="00B420DE"/>
    <w:rsid w:val="00B420E3"/>
    <w:rsid w:val="00B424F8"/>
    <w:rsid w:val="00B42F14"/>
    <w:rsid w:val="00B444D6"/>
    <w:rsid w:val="00B4566D"/>
    <w:rsid w:val="00B46C94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56F94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5142"/>
    <w:rsid w:val="00B751C9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23BE"/>
    <w:rsid w:val="00B92AB8"/>
    <w:rsid w:val="00B93AF2"/>
    <w:rsid w:val="00B93DFE"/>
    <w:rsid w:val="00B95DF3"/>
    <w:rsid w:val="00B963E8"/>
    <w:rsid w:val="00BA0039"/>
    <w:rsid w:val="00BA3F28"/>
    <w:rsid w:val="00BA436C"/>
    <w:rsid w:val="00BA6C2D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2128"/>
    <w:rsid w:val="00C02172"/>
    <w:rsid w:val="00C02858"/>
    <w:rsid w:val="00C02C45"/>
    <w:rsid w:val="00C02D5F"/>
    <w:rsid w:val="00C0392B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6707"/>
    <w:rsid w:val="00C31A30"/>
    <w:rsid w:val="00C31F40"/>
    <w:rsid w:val="00C325FF"/>
    <w:rsid w:val="00C347FD"/>
    <w:rsid w:val="00C35779"/>
    <w:rsid w:val="00C35CCA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6177"/>
    <w:rsid w:val="00C96294"/>
    <w:rsid w:val="00C96942"/>
    <w:rsid w:val="00CA0532"/>
    <w:rsid w:val="00CA183D"/>
    <w:rsid w:val="00CA1AF3"/>
    <w:rsid w:val="00CA221F"/>
    <w:rsid w:val="00CA301B"/>
    <w:rsid w:val="00CA3617"/>
    <w:rsid w:val="00CA46C4"/>
    <w:rsid w:val="00CA4EA5"/>
    <w:rsid w:val="00CA7BC6"/>
    <w:rsid w:val="00CB0117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7982"/>
    <w:rsid w:val="00CC38DD"/>
    <w:rsid w:val="00CC4A49"/>
    <w:rsid w:val="00CC5499"/>
    <w:rsid w:val="00CD0084"/>
    <w:rsid w:val="00CD00BE"/>
    <w:rsid w:val="00CD016E"/>
    <w:rsid w:val="00CD1668"/>
    <w:rsid w:val="00CD1B84"/>
    <w:rsid w:val="00CD1F95"/>
    <w:rsid w:val="00CD3160"/>
    <w:rsid w:val="00CD54DF"/>
    <w:rsid w:val="00CD69F4"/>
    <w:rsid w:val="00CD6AEE"/>
    <w:rsid w:val="00CD6F09"/>
    <w:rsid w:val="00CD7BCD"/>
    <w:rsid w:val="00CE028B"/>
    <w:rsid w:val="00CE0533"/>
    <w:rsid w:val="00CE0D57"/>
    <w:rsid w:val="00CE27EA"/>
    <w:rsid w:val="00CE316F"/>
    <w:rsid w:val="00CE3A7D"/>
    <w:rsid w:val="00CE4C14"/>
    <w:rsid w:val="00CE6032"/>
    <w:rsid w:val="00CE6B42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3F33"/>
    <w:rsid w:val="00D240B8"/>
    <w:rsid w:val="00D268CB"/>
    <w:rsid w:val="00D26B71"/>
    <w:rsid w:val="00D27755"/>
    <w:rsid w:val="00D309C4"/>
    <w:rsid w:val="00D32093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5779D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5367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1282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538"/>
    <w:rsid w:val="00DB5B03"/>
    <w:rsid w:val="00DB5B11"/>
    <w:rsid w:val="00DC0087"/>
    <w:rsid w:val="00DC39C5"/>
    <w:rsid w:val="00DC5535"/>
    <w:rsid w:val="00DC7130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493D"/>
    <w:rsid w:val="00DE599B"/>
    <w:rsid w:val="00DE6597"/>
    <w:rsid w:val="00DE681E"/>
    <w:rsid w:val="00DE6A00"/>
    <w:rsid w:val="00DF1179"/>
    <w:rsid w:val="00DF177E"/>
    <w:rsid w:val="00DF2609"/>
    <w:rsid w:val="00DF3813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320"/>
    <w:rsid w:val="00E31FA1"/>
    <w:rsid w:val="00E33395"/>
    <w:rsid w:val="00E33D37"/>
    <w:rsid w:val="00E34587"/>
    <w:rsid w:val="00E34E90"/>
    <w:rsid w:val="00E35168"/>
    <w:rsid w:val="00E35678"/>
    <w:rsid w:val="00E364C7"/>
    <w:rsid w:val="00E40A3B"/>
    <w:rsid w:val="00E40C45"/>
    <w:rsid w:val="00E41C3B"/>
    <w:rsid w:val="00E42378"/>
    <w:rsid w:val="00E4245D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6394"/>
    <w:rsid w:val="00E57556"/>
    <w:rsid w:val="00E60ACE"/>
    <w:rsid w:val="00E63988"/>
    <w:rsid w:val="00E64AE2"/>
    <w:rsid w:val="00E65243"/>
    <w:rsid w:val="00E65F7D"/>
    <w:rsid w:val="00E669DF"/>
    <w:rsid w:val="00E66E85"/>
    <w:rsid w:val="00E700D9"/>
    <w:rsid w:val="00E704B6"/>
    <w:rsid w:val="00E704EC"/>
    <w:rsid w:val="00E7196D"/>
    <w:rsid w:val="00E71C27"/>
    <w:rsid w:val="00E74C37"/>
    <w:rsid w:val="00E807CB"/>
    <w:rsid w:val="00E80E67"/>
    <w:rsid w:val="00E81CDC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CEF"/>
    <w:rsid w:val="00EA12BC"/>
    <w:rsid w:val="00EA3171"/>
    <w:rsid w:val="00EA617F"/>
    <w:rsid w:val="00EA6D3A"/>
    <w:rsid w:val="00EB0731"/>
    <w:rsid w:val="00EB1BBC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4B0"/>
    <w:rsid w:val="00EE2AA9"/>
    <w:rsid w:val="00EE479D"/>
    <w:rsid w:val="00EE5BF8"/>
    <w:rsid w:val="00EE6E98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662"/>
    <w:rsid w:val="00F05B64"/>
    <w:rsid w:val="00F0641A"/>
    <w:rsid w:val="00F10D8E"/>
    <w:rsid w:val="00F11131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017"/>
    <w:rsid w:val="00F254D7"/>
    <w:rsid w:val="00F2572B"/>
    <w:rsid w:val="00F2623D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2B12"/>
    <w:rsid w:val="00F43495"/>
    <w:rsid w:val="00F4455C"/>
    <w:rsid w:val="00F46D03"/>
    <w:rsid w:val="00F50EBB"/>
    <w:rsid w:val="00F51A00"/>
    <w:rsid w:val="00F53A05"/>
    <w:rsid w:val="00F5526C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6762F"/>
    <w:rsid w:val="00F707E4"/>
    <w:rsid w:val="00F70C89"/>
    <w:rsid w:val="00F7114C"/>
    <w:rsid w:val="00F71C48"/>
    <w:rsid w:val="00F76FB6"/>
    <w:rsid w:val="00F7704B"/>
    <w:rsid w:val="00F82454"/>
    <w:rsid w:val="00F8299A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6F72"/>
    <w:rsid w:val="00FA6FA8"/>
    <w:rsid w:val="00FA75F5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6542"/>
    <w:rsid w:val="00FD757A"/>
    <w:rsid w:val="00FD7FED"/>
    <w:rsid w:val="00FE0191"/>
    <w:rsid w:val="00FE0CDC"/>
    <w:rsid w:val="00FE18CD"/>
    <w:rsid w:val="00FE39E7"/>
    <w:rsid w:val="00FE40E9"/>
    <w:rsid w:val="00FE594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rpodeltesto31">
    <w:name w:val="Corpo del testo 31"/>
    <w:basedOn w:val="Normale"/>
    <w:rsid w:val="00E56394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BodyText22">
    <w:name w:val="Body Text 22"/>
    <w:basedOn w:val="Normale"/>
    <w:rsid w:val="00C35CCA"/>
    <w:pPr>
      <w:suppressAutoHyphens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numPr>
        <w:numId w:val="1"/>
      </w:numPr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numPr>
        <w:ilvl w:val="1"/>
        <w:numId w:val="1"/>
      </w:numPr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numPr>
        <w:ilvl w:val="3"/>
        <w:numId w:val="1"/>
      </w:numPr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rpodeltesto31">
    <w:name w:val="Corpo del testo 31"/>
    <w:basedOn w:val="Normale"/>
    <w:rsid w:val="00E56394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BodyText22">
    <w:name w:val="Body Text 22"/>
    <w:basedOn w:val="Normale"/>
    <w:rsid w:val="00C35CCA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A5198-8A1C-4CC7-B292-0892AEAD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3918</Words>
  <Characters>22335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26201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Guido Gastaldon</cp:lastModifiedBy>
  <cp:revision>11</cp:revision>
  <cp:lastPrinted>2018-02-22T08:32:00Z</cp:lastPrinted>
  <dcterms:created xsi:type="dcterms:W3CDTF">2017-11-30T11:52:00Z</dcterms:created>
  <dcterms:modified xsi:type="dcterms:W3CDTF">2018-02-22T08:32:00Z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