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4368B0">
        <w:rPr>
          <w:rFonts w:ascii="Calibri" w:hAnsi="Calibri"/>
          <w:kern w:val="32"/>
        </w:rPr>
        <w:t>7</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4368B0" w:rsidRDefault="00BF64AF" w:rsidP="00BF64AF">
      <w:pPr>
        <w:rPr>
          <w:rStyle w:val="BLOCKBOLD"/>
          <w:rFonts w:ascii="Calibri" w:hAnsi="Calibri"/>
        </w:rPr>
      </w:pPr>
      <w:r w:rsidRPr="00892F6B">
        <w:rPr>
          <w:rStyle w:val="BLOCKBOLD"/>
          <w:rFonts w:ascii="Calibri" w:hAnsi="Calibri"/>
        </w:rPr>
        <w:t xml:space="preserve">PER </w:t>
      </w:r>
      <w:r w:rsidR="004368B0">
        <w:rPr>
          <w:rStyle w:val="BLOCKBOLD"/>
          <w:rFonts w:ascii="Calibri" w:hAnsi="Calibri"/>
        </w:rPr>
        <w:t xml:space="preserve">GARA A PROCEDURA APERTA PER l’AFFIDAMENTO DI UN </w:t>
      </w:r>
      <w:r w:rsidR="004368B0" w:rsidRPr="004368B0">
        <w:rPr>
          <w:rStyle w:val="BLOCKBOLD"/>
          <w:rFonts w:ascii="Calibri" w:hAnsi="Calibri"/>
        </w:rPr>
        <w:t>ACCORDO QUADRO PER IL POTENZIAMENTO DELL’INFRASTRUTTURA DI BACK-UP DELL DATA DOMAIN PER SOGEI – ID 2758</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0B3" w:rsidRDefault="004A40B3" w:rsidP="00BF64AF">
      <w:pPr>
        <w:spacing w:line="240" w:lineRule="auto"/>
      </w:pPr>
      <w:r>
        <w:separator/>
      </w:r>
    </w:p>
  </w:endnote>
  <w:endnote w:type="continuationSeparator" w:id="0">
    <w:p w:rsidR="004A40B3" w:rsidRDefault="004A40B3"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085" w:rsidRDefault="00FE708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3F5" w:rsidRDefault="004368B0">
    <w:pPr>
      <w:pStyle w:val="CLASSIFICAZIONEFOOTER1"/>
    </w:pPr>
    <w:r w:rsidRPr="00EB56C7">
      <w:rPr>
        <w:rFonts w:asciiTheme="minorHAnsi" w:cstheme="minorHAnsi"/>
        <w:noProof/>
        <w:sz w:val="16"/>
        <w:szCs w:val="16"/>
        <w:lang w:eastAsia="it-IT"/>
      </w:rPr>
      <mc:AlternateContent>
        <mc:Choice Requires="wps">
          <w:drawing>
            <wp:anchor distT="0" distB="0" distL="114300" distR="114300" simplePos="0" relativeHeight="251662336" behindDoc="0" locked="0" layoutInCell="1" allowOverlap="1">
              <wp:simplePos x="0" y="0"/>
              <wp:positionH relativeFrom="column">
                <wp:posOffset>5597957</wp:posOffset>
              </wp:positionH>
              <wp:positionV relativeFrom="paragraph">
                <wp:posOffset>316103</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E7085">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E7085">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margin-left:440.8pt;margin-top:24.9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E7085">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E7085">
                      <w:rPr>
                        <w:rStyle w:val="Numeropagina"/>
                        <w:noProof/>
                      </w:rPr>
                      <w:t>3</w:t>
                    </w:r>
                    <w:r w:rsidRPr="000D2520">
                      <w:rPr>
                        <w:rStyle w:val="Numeropagina"/>
                      </w:rPr>
                      <w:fldChar w:fldCharType="end"/>
                    </w:r>
                  </w:p>
                </w:txbxContent>
              </v:textbox>
            </v:shape>
          </w:pict>
        </mc:Fallback>
      </mc:AlternateContent>
    </w:r>
  </w:p>
  <w:p w:rsidR="000F65A0" w:rsidRPr="00EB56C7" w:rsidRDefault="00240D21" w:rsidP="00D60DE0">
    <w:pPr>
      <w:pStyle w:val="Pidipagina"/>
      <w:rPr>
        <w:rStyle w:val="Numeropagina"/>
        <w:rFonts w:asciiTheme="minorHAnsi" w:hAnsiTheme="minorHAnsi" w:cstheme="minorHAnsi"/>
      </w:rPr>
    </w:pPr>
    <w:r w:rsidRPr="00EB56C7">
      <w:rPr>
        <w:rFonts w:asciiTheme="minorHAnsi" w:hAnsiTheme="minorHAnsi" w:cstheme="minorHAnsi"/>
        <w:sz w:val="16"/>
        <w:szCs w:val="16"/>
      </w:rPr>
      <w:t xml:space="preserve">Gara a procedura aperta ai sensi del D.Lgs. </w:t>
    </w:r>
    <w:r w:rsidR="00EB56C7" w:rsidRPr="00EB56C7">
      <w:rPr>
        <w:rFonts w:asciiTheme="minorHAnsi" w:hAnsiTheme="minorHAnsi" w:cstheme="minorHAnsi"/>
        <w:sz w:val="16"/>
        <w:szCs w:val="16"/>
        <w:lang w:val="it-IT"/>
      </w:rPr>
      <w:t>36</w:t>
    </w:r>
    <w:r w:rsidRPr="00EB56C7">
      <w:rPr>
        <w:rFonts w:asciiTheme="minorHAnsi" w:hAnsiTheme="minorHAnsi" w:cstheme="minorHAnsi"/>
        <w:sz w:val="16"/>
        <w:szCs w:val="16"/>
      </w:rPr>
      <w:t>/</w:t>
    </w:r>
    <w:r w:rsidR="00EB56C7" w:rsidRPr="00EB56C7">
      <w:rPr>
        <w:rFonts w:asciiTheme="minorHAnsi" w:hAnsiTheme="minorHAnsi" w:cstheme="minorHAnsi"/>
        <w:sz w:val="16"/>
        <w:szCs w:val="16"/>
        <w:lang w:val="it-IT"/>
      </w:rPr>
      <w:t>2023</w:t>
    </w:r>
    <w:r w:rsidRPr="00EB56C7">
      <w:rPr>
        <w:rFonts w:asciiTheme="minorHAnsi" w:hAnsiTheme="minorHAnsi" w:cstheme="minorHAnsi"/>
        <w:sz w:val="16"/>
        <w:szCs w:val="16"/>
      </w:rPr>
      <w:t>, per</w:t>
    </w:r>
    <w:r w:rsidR="004368B0">
      <w:rPr>
        <w:rFonts w:asciiTheme="minorHAnsi" w:hAnsiTheme="minorHAnsi" w:cstheme="minorHAnsi"/>
        <w:sz w:val="16"/>
        <w:szCs w:val="16"/>
        <w:lang w:val="it-IT"/>
      </w:rPr>
      <w:t xml:space="preserve"> l’affidamento di un Accordo Quadro per il potenziamento dell’Infrastruttura di Backup Dell Data Domain di Sogei – ID 2758 </w:t>
    </w:r>
  </w:p>
  <w:p w:rsidR="00450DAF" w:rsidRPr="00FE7085" w:rsidRDefault="00FE7085" w:rsidP="00D60DE0">
    <w:pPr>
      <w:pStyle w:val="Pidipagina"/>
      <w:rPr>
        <w:rFonts w:asciiTheme="minorHAnsi" w:hAnsiTheme="minorHAnsi" w:cstheme="minorHAnsi"/>
        <w:sz w:val="16"/>
        <w:szCs w:val="16"/>
        <w:lang w:val="it-IT"/>
      </w:rPr>
    </w:pPr>
    <w:r>
      <w:rPr>
        <w:rFonts w:asciiTheme="minorHAnsi" w:hAnsiTheme="minorHAnsi" w:cstheme="minorHAnsi"/>
        <w:sz w:val="16"/>
        <w:szCs w:val="16"/>
        <w:lang w:val="it-IT"/>
      </w:rPr>
      <w:t xml:space="preserve">Modulo di </w:t>
    </w:r>
    <w:r>
      <w:rPr>
        <w:rFonts w:asciiTheme="minorHAnsi" w:hAnsiTheme="minorHAnsi" w:cstheme="minorHAnsi"/>
        <w:sz w:val="16"/>
        <w:szCs w:val="16"/>
        <w:lang w:val="it-IT"/>
      </w:rPr>
      <w:t>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085" w:rsidRDefault="00FE708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0B3" w:rsidRDefault="004A40B3" w:rsidP="00BF64AF">
      <w:pPr>
        <w:spacing w:line="240" w:lineRule="auto"/>
      </w:pPr>
      <w:r>
        <w:separator/>
      </w:r>
    </w:p>
  </w:footnote>
  <w:footnote w:type="continuationSeparator" w:id="0">
    <w:p w:rsidR="004A40B3" w:rsidRDefault="004A40B3"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085" w:rsidRDefault="00FE708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837" w:rsidRDefault="00BC5837" w:rsidP="00FE708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085" w:rsidRDefault="00FE708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2461F1"/>
    <w:rsid w:val="00276C54"/>
    <w:rsid w:val="00371FDC"/>
    <w:rsid w:val="004368B0"/>
    <w:rsid w:val="004A40B3"/>
    <w:rsid w:val="007251BE"/>
    <w:rsid w:val="009471E8"/>
    <w:rsid w:val="00B548FC"/>
    <w:rsid w:val="00BC5837"/>
    <w:rsid w:val="00BF64AF"/>
    <w:rsid w:val="00C573F5"/>
    <w:rsid w:val="00DE6F60"/>
    <w:rsid w:val="00EB56C7"/>
    <w:rsid w:val="00FE70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B87AAC"/>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510</Words>
  <Characters>2909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7</cp:revision>
  <dcterms:created xsi:type="dcterms:W3CDTF">2020-10-27T14:14:00Z</dcterms:created>
  <dcterms:modified xsi:type="dcterms:W3CDTF">2024-05-07T12:51:00Z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