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30BD6" w14:textId="77777777" w:rsidR="00C65AC5" w:rsidRDefault="00C65AC5" w:rsidP="006474D0">
      <w:pPr>
        <w:pStyle w:val="Titolocopertina"/>
      </w:pPr>
    </w:p>
    <w:p w14:paraId="70A9F55E" w14:textId="77777777" w:rsidR="00C65AC5" w:rsidRDefault="00C65AC5" w:rsidP="006474D0">
      <w:pPr>
        <w:pStyle w:val="Titolocopertina"/>
      </w:pPr>
    </w:p>
    <w:p w14:paraId="4337152E" w14:textId="33582F97" w:rsidR="00A6379B" w:rsidRDefault="00A6379B" w:rsidP="006474D0">
      <w:pPr>
        <w:pStyle w:val="Titolocopertina"/>
      </w:pPr>
      <w:r w:rsidRPr="00407DBC">
        <w:t>ALLEGATO</w:t>
      </w:r>
      <w:r w:rsidR="00C65AC5">
        <w:t xml:space="preserve"> </w:t>
      </w:r>
      <w:r w:rsidR="00BB1E16">
        <w:t>1</w:t>
      </w:r>
      <w:r w:rsidR="006712DF">
        <w:t>4</w:t>
      </w:r>
    </w:p>
    <w:p w14:paraId="33344D45" w14:textId="77777777" w:rsidR="00407DBC" w:rsidRPr="00407DBC" w:rsidRDefault="00407DBC" w:rsidP="006474D0">
      <w:pPr>
        <w:pStyle w:val="Titolocopertina"/>
      </w:pPr>
    </w:p>
    <w:p w14:paraId="78851572" w14:textId="77777777" w:rsidR="00144F05" w:rsidRPr="00407DBC" w:rsidRDefault="00144F05" w:rsidP="006474D0">
      <w:pPr>
        <w:pStyle w:val="Titolocopertina"/>
      </w:pPr>
      <w:r w:rsidRPr="00407DBC">
        <w:t>RIFERIMENTI DOCUMENTALI</w:t>
      </w:r>
    </w:p>
    <w:p w14:paraId="66A89B42" w14:textId="34B7D519" w:rsidR="00A6379B" w:rsidRPr="00407DBC" w:rsidRDefault="00144F05" w:rsidP="006474D0">
      <w:pPr>
        <w:pStyle w:val="Titolocopertina"/>
        <w:rPr>
          <w:rStyle w:val="Grassettocorsivo"/>
          <w:rFonts w:ascii="Calibri" w:hAnsi="Calibri"/>
          <w:sz w:val="28"/>
        </w:rPr>
      </w:pPr>
      <w:r w:rsidRPr="00407DBC">
        <w:t xml:space="preserve">ID </w:t>
      </w:r>
      <w:r w:rsidR="006627DB">
        <w:t>2</w:t>
      </w:r>
      <w:r w:rsidR="006712DF">
        <w:t>785</w:t>
      </w:r>
    </w:p>
    <w:p w14:paraId="6D591787" w14:textId="5FDFF267" w:rsidR="0036768D" w:rsidRDefault="000A371D" w:rsidP="00C65AC5">
      <w:pPr>
        <w:pStyle w:val="Titolo"/>
        <w:rPr>
          <w:rFonts w:ascii="Calibri" w:hAnsi="Calibri"/>
          <w:caps w:val="0"/>
          <w:sz w:val="28"/>
        </w:rPr>
      </w:pPr>
      <w:r w:rsidRPr="009312AE">
        <w:br w:type="page"/>
      </w:r>
      <w:r w:rsidR="006627DB">
        <w:rPr>
          <w:rFonts w:ascii="Calibri" w:hAnsi="Calibri"/>
          <w:caps w:val="0"/>
          <w:sz w:val="28"/>
        </w:rPr>
        <w:lastRenderedPageBreak/>
        <w:t xml:space="preserve"> T</w:t>
      </w:r>
      <w:r w:rsidR="006627DB" w:rsidRPr="006627DB">
        <w:rPr>
          <w:rFonts w:ascii="Calibri" w:hAnsi="Calibri"/>
          <w:caps w:val="0"/>
          <w:sz w:val="28"/>
        </w:rPr>
        <w:t xml:space="preserve">omografi a Risonanza Magnetica (RM) </w:t>
      </w:r>
      <w:r w:rsidR="006712DF">
        <w:rPr>
          <w:rFonts w:ascii="Calibri" w:hAnsi="Calibri"/>
          <w:caps w:val="0"/>
          <w:sz w:val="28"/>
        </w:rPr>
        <w:t>3</w:t>
      </w:r>
      <w:r w:rsidR="006627DB" w:rsidRPr="006627DB">
        <w:rPr>
          <w:rFonts w:ascii="Calibri" w:hAnsi="Calibri"/>
          <w:caps w:val="0"/>
          <w:sz w:val="28"/>
        </w:rPr>
        <w:t xml:space="preserve"> Tesla </w:t>
      </w:r>
    </w:p>
    <w:p w14:paraId="0DE88D1B" w14:textId="77777777" w:rsidR="006474D0" w:rsidRPr="00B54801" w:rsidRDefault="006474D0" w:rsidP="00B54801">
      <w:pPr>
        <w:rPr>
          <w:sz w:val="18"/>
        </w:rPr>
      </w:pPr>
    </w:p>
    <w:p w14:paraId="2D7A106A" w14:textId="77777777" w:rsidR="006474D0" w:rsidRPr="00B54801" w:rsidRDefault="006474D0" w:rsidP="00B54801">
      <w:pPr>
        <w:rPr>
          <w:sz w:val="18"/>
        </w:rPr>
      </w:pPr>
    </w:p>
    <w:tbl>
      <w:tblPr>
        <w:tblW w:w="6100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5"/>
        <w:gridCol w:w="1985"/>
        <w:gridCol w:w="1995"/>
      </w:tblGrid>
      <w:tr w:rsidR="006474D0" w:rsidRPr="00B54801" w14:paraId="2FBC4643" w14:textId="77777777" w:rsidTr="006627DB">
        <w:trPr>
          <w:trHeight w:val="380"/>
          <w:tblHeader/>
        </w:trPr>
        <w:tc>
          <w:tcPr>
            <w:tcW w:w="302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</w:tcPr>
          <w:p w14:paraId="3ED4708D" w14:textId="77777777" w:rsidR="006474D0" w:rsidRPr="00B54801" w:rsidRDefault="006474D0" w:rsidP="00B54801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B54801"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  <w:t>Caratteristiche tecniche minime</w:t>
            </w:r>
          </w:p>
        </w:tc>
        <w:tc>
          <w:tcPr>
            <w:tcW w:w="9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</w:tcPr>
          <w:p w14:paraId="76EE93FB" w14:textId="77777777" w:rsidR="006474D0" w:rsidRPr="00B54801" w:rsidRDefault="006474D0" w:rsidP="00B54801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B54801">
              <w:rPr>
                <w:rFonts w:asciiTheme="minorHAnsi" w:hAnsiTheme="minorHAnsi" w:cstheme="minorHAns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</w:tcPr>
          <w:p w14:paraId="39AFFE51" w14:textId="77777777" w:rsidR="006474D0" w:rsidRPr="00B54801" w:rsidRDefault="006474D0" w:rsidP="00B54801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B54801">
              <w:rPr>
                <w:rFonts w:asciiTheme="minorHAnsi" w:hAnsiTheme="minorHAnsi" w:cstheme="minorHAns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6627DB" w:rsidRPr="006627DB" w14:paraId="4BB93BF9" w14:textId="77777777" w:rsidTr="00831FF5">
        <w:trPr>
          <w:trHeight w:val="20"/>
        </w:trPr>
        <w:tc>
          <w:tcPr>
            <w:tcW w:w="302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  <w:hideMark/>
          </w:tcPr>
          <w:p w14:paraId="64E05433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  <w:r w:rsidRPr="006627DB"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  <w:t>Magnete</w:t>
            </w:r>
          </w:p>
        </w:tc>
        <w:tc>
          <w:tcPr>
            <w:tcW w:w="9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</w:tcPr>
          <w:p w14:paraId="0D0B1CE5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</w:tcPr>
          <w:p w14:paraId="7E603409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</w:tr>
      <w:tr w:rsidR="006627DB" w:rsidRPr="00BA781E" w14:paraId="53A834D1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5CD05" w14:textId="77777777" w:rsidR="006627DB" w:rsidRPr="006627DB" w:rsidRDefault="006627DB" w:rsidP="006627DB">
            <w:pPr>
              <w:rPr>
                <w:rFonts w:asciiTheme="minorHAnsi" w:hAnsiTheme="minorHAnsi" w:cstheme="minorHAnsi"/>
                <w:szCs w:val="20"/>
              </w:rPr>
            </w:pPr>
            <w:r w:rsidRPr="006627DB">
              <w:rPr>
                <w:rFonts w:asciiTheme="minorHAnsi" w:hAnsiTheme="minorHAnsi" w:cstheme="minorHAnsi"/>
                <w:szCs w:val="20"/>
              </w:rPr>
              <w:t xml:space="preserve">Diametro minimo del </w:t>
            </w:r>
            <w:proofErr w:type="spellStart"/>
            <w:r w:rsidRPr="006627DB">
              <w:rPr>
                <w:rFonts w:asciiTheme="minorHAnsi" w:hAnsiTheme="minorHAnsi" w:cstheme="minorHAnsi"/>
                <w:szCs w:val="20"/>
              </w:rPr>
              <w:t>gantry</w:t>
            </w:r>
            <w:proofErr w:type="spellEnd"/>
            <w:r w:rsidRPr="006627DB">
              <w:rPr>
                <w:rFonts w:asciiTheme="minorHAnsi" w:hAnsiTheme="minorHAnsi" w:cstheme="minorHAnsi"/>
                <w:szCs w:val="20"/>
              </w:rPr>
              <w:t xml:space="preserve"> non inferiore a 68 cm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473E7D" w14:textId="77777777" w:rsidR="006627DB" w:rsidRPr="00BA781E" w:rsidRDefault="006627DB" w:rsidP="006627DB">
            <w:pPr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351D0D" w14:textId="77777777" w:rsidR="006627DB" w:rsidRPr="00BA781E" w:rsidRDefault="006627DB" w:rsidP="006627DB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6627DB" w:rsidRPr="006627DB" w14:paraId="509F7502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  <w:hideMark/>
          </w:tcPr>
          <w:p w14:paraId="76FF1F7F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  <w:r w:rsidRPr="006627DB"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  <w:t>Tavolo porta paziente: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346848B8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FBA7ECE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</w:tr>
      <w:tr w:rsidR="006627DB" w:rsidRPr="00BA781E" w14:paraId="2B95CE56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8B535" w14:textId="77777777" w:rsidR="006627DB" w:rsidRPr="006627DB" w:rsidRDefault="006627DB" w:rsidP="006627DB">
            <w:pPr>
              <w:rPr>
                <w:rFonts w:asciiTheme="minorHAnsi" w:hAnsiTheme="minorHAnsi" w:cstheme="minorHAnsi"/>
                <w:szCs w:val="20"/>
              </w:rPr>
            </w:pPr>
            <w:r w:rsidRPr="006627DB">
              <w:rPr>
                <w:rFonts w:asciiTheme="minorHAnsi" w:hAnsiTheme="minorHAnsi" w:cstheme="minorHAnsi"/>
                <w:szCs w:val="20"/>
              </w:rPr>
              <w:t>Massima lunghezza scansionabile del tavolo ≥ 180 cm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2C5FD0" w14:textId="77777777" w:rsidR="006627DB" w:rsidRPr="00BA781E" w:rsidRDefault="006627DB" w:rsidP="006627DB">
            <w:pPr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6472D2" w14:textId="77777777" w:rsidR="006627DB" w:rsidRPr="00BA781E" w:rsidRDefault="006627DB" w:rsidP="006627DB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6627DB" w:rsidRPr="006627DB" w14:paraId="6B909B4E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  <w:hideMark/>
          </w:tcPr>
          <w:p w14:paraId="2D19903C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  <w:r w:rsidRPr="006627DB"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  <w:t>Catena di radiofrequenza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8BF2337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7B6D184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</w:tr>
      <w:tr w:rsidR="006627DB" w:rsidRPr="00BA781E" w14:paraId="142E1002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34493" w14:textId="77777777" w:rsidR="009C176B" w:rsidRPr="009C176B" w:rsidRDefault="009C176B" w:rsidP="009C176B">
            <w:pPr>
              <w:rPr>
                <w:rFonts w:asciiTheme="minorHAnsi" w:hAnsiTheme="minorHAnsi" w:cstheme="minorHAnsi"/>
                <w:szCs w:val="20"/>
              </w:rPr>
            </w:pPr>
            <w:r w:rsidRPr="009C176B">
              <w:rPr>
                <w:rFonts w:asciiTheme="minorHAnsi" w:hAnsiTheme="minorHAnsi" w:cstheme="minorHAnsi"/>
                <w:szCs w:val="20"/>
              </w:rPr>
              <w:t>Fornitura delle seguenti bobine:</w:t>
            </w:r>
          </w:p>
          <w:p w14:paraId="2A0AB610" w14:textId="5CBDD585" w:rsidR="009C176B" w:rsidRPr="009C176B" w:rsidRDefault="009C176B" w:rsidP="009C176B">
            <w:pPr>
              <w:pStyle w:val="Paragrafoelenco"/>
              <w:numPr>
                <w:ilvl w:val="0"/>
                <w:numId w:val="26"/>
              </w:numPr>
              <w:spacing w:line="240" w:lineRule="auto"/>
              <w:ind w:right="1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C176B">
              <w:rPr>
                <w:rFonts w:asciiTheme="minorHAnsi" w:hAnsiTheme="minorHAnsi" w:cstheme="minorHAnsi"/>
                <w:sz w:val="20"/>
                <w:szCs w:val="20"/>
              </w:rPr>
              <w:t>Bobina head-neck phased array, anche per applicazioni neurovascolari, con numero di canali indipendenti non inferiori a 16 di cui almeno 12 dedicati all'encefalo;</w:t>
            </w:r>
          </w:p>
          <w:p w14:paraId="77F7449F" w14:textId="77777777" w:rsidR="009C176B" w:rsidRPr="009C176B" w:rsidRDefault="009C176B" w:rsidP="009C176B">
            <w:pPr>
              <w:pStyle w:val="Paragrafoelenco"/>
              <w:numPr>
                <w:ilvl w:val="0"/>
                <w:numId w:val="26"/>
              </w:numPr>
              <w:spacing w:line="240" w:lineRule="auto"/>
              <w:ind w:right="1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C176B">
              <w:rPr>
                <w:rFonts w:asciiTheme="minorHAnsi" w:hAnsiTheme="minorHAnsi" w:cstheme="minorHAnsi"/>
                <w:sz w:val="20"/>
                <w:szCs w:val="20"/>
              </w:rPr>
              <w:t>Bobina colonna phased array integrata nel tavolo, almeno 16 canali/elementi attivi contemporaneamente, con possibilità di uso combinato con altre bobine e almeno 50 cm di copertura fisica;</w:t>
            </w:r>
          </w:p>
          <w:p w14:paraId="64108C88" w14:textId="77777777" w:rsidR="009C176B" w:rsidRPr="009C176B" w:rsidRDefault="009C176B" w:rsidP="009C176B">
            <w:pPr>
              <w:pStyle w:val="Paragrafoelenco"/>
              <w:numPr>
                <w:ilvl w:val="0"/>
                <w:numId w:val="26"/>
              </w:numPr>
              <w:spacing w:line="240" w:lineRule="auto"/>
              <w:ind w:right="1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C176B">
              <w:rPr>
                <w:rFonts w:asciiTheme="minorHAnsi" w:hAnsiTheme="minorHAnsi" w:cstheme="minorHAnsi"/>
                <w:sz w:val="20"/>
                <w:szCs w:val="20"/>
              </w:rPr>
              <w:t>Bobina/e addome phased array, inclusa regione del cuore con copertura totale dell’addome e del torace, con numero di canali/elementi indipendenti complessivi non inferiori a 28 e copertura totale non inferiore a 50x50 cm;</w:t>
            </w:r>
          </w:p>
          <w:p w14:paraId="5D6B3AFB" w14:textId="77777777" w:rsidR="009C176B" w:rsidRPr="009C176B" w:rsidRDefault="009C176B" w:rsidP="009C176B">
            <w:pPr>
              <w:pStyle w:val="Paragrafoelenco"/>
              <w:numPr>
                <w:ilvl w:val="0"/>
                <w:numId w:val="26"/>
              </w:numPr>
              <w:spacing w:line="240" w:lineRule="auto"/>
              <w:ind w:right="1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C176B">
              <w:rPr>
                <w:rFonts w:asciiTheme="minorHAnsi" w:hAnsiTheme="minorHAnsi" w:cstheme="minorHAnsi"/>
                <w:sz w:val="20"/>
                <w:szCs w:val="20"/>
              </w:rPr>
              <w:t xml:space="preserve">Bobina mammella con almeno </w:t>
            </w:r>
            <w:proofErr w:type="gramStart"/>
            <w:r w:rsidRPr="009C176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proofErr w:type="gramEnd"/>
            <w:r w:rsidRPr="009C176B">
              <w:rPr>
                <w:rFonts w:asciiTheme="minorHAnsi" w:hAnsiTheme="minorHAnsi" w:cstheme="minorHAnsi"/>
                <w:sz w:val="20"/>
                <w:szCs w:val="20"/>
              </w:rPr>
              <w:t xml:space="preserve"> canali completa di sequenze e software per studi standard senza e con la saturazione del grasso; sequenze per lo studio degli impianti protesici mammari (saturazione di acqua e silicone); sequenze per acquisizioni dinamiche e relativo software di elaborazione immagini;</w:t>
            </w:r>
          </w:p>
          <w:p w14:paraId="65971B3B" w14:textId="5ABB45A2" w:rsidR="006627DB" w:rsidRPr="009C176B" w:rsidRDefault="009C176B" w:rsidP="009C176B">
            <w:pPr>
              <w:pStyle w:val="Paragrafoelenco"/>
              <w:numPr>
                <w:ilvl w:val="0"/>
                <w:numId w:val="26"/>
              </w:numPr>
              <w:spacing w:line="240" w:lineRule="auto"/>
              <w:ind w:right="17"/>
              <w:contextualSpacing/>
              <w:rPr>
                <w:rFonts w:cs="Calibri"/>
                <w:sz w:val="20"/>
                <w:szCs w:val="20"/>
              </w:rPr>
            </w:pPr>
            <w:r w:rsidRPr="009C176B">
              <w:rPr>
                <w:rFonts w:asciiTheme="minorHAnsi" w:hAnsiTheme="minorHAnsi" w:cstheme="minorHAnsi"/>
                <w:sz w:val="20"/>
                <w:szCs w:val="20"/>
              </w:rPr>
              <w:t>Bobina flessibile phased array ad almeno 16 canali per eseguire esami su distretti superficiali su medie e grandi articolazioni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FC9A32" w14:textId="77777777" w:rsidR="006627DB" w:rsidRPr="00BA781E" w:rsidRDefault="006627DB" w:rsidP="006627DB">
            <w:pPr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4625B" w14:textId="77777777" w:rsidR="006627DB" w:rsidRPr="00BA781E" w:rsidRDefault="006627DB" w:rsidP="006627DB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6627DB" w:rsidRPr="006627DB" w14:paraId="231E2487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628D320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  <w:r w:rsidRPr="006627DB"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  <w:t>Sequenze di acquisizione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7384785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351C8B70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</w:tr>
      <w:tr w:rsidR="00D55A1B" w:rsidRPr="00BA781E" w14:paraId="10ECA5AD" w14:textId="77777777" w:rsidTr="009C176B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C048A" w14:textId="63FD4284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 xml:space="preserve">Sequenze SE e GRE Convenzionali e Rapide 2D e/o 3D con la possibilità di applicare, dove richiesto da esigenze cliniche e/o tecniche, preparazioni della magnetizzazione tipo IR e tecniche di saturazione grasso/acqua 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F71680" w14:textId="77777777" w:rsidR="00D55A1B" w:rsidRPr="00BA781E" w:rsidRDefault="00D55A1B" w:rsidP="00D55A1B">
            <w:pPr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26E35A" w14:textId="77777777" w:rsidR="00D55A1B" w:rsidRPr="00BA781E" w:rsidRDefault="00D55A1B" w:rsidP="00D55A1B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D55A1B" w:rsidRPr="008C5EB8" w14:paraId="3FBAAA3D" w14:textId="77777777" w:rsidTr="009C176B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C973E" w14:textId="05EDA6E3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>Sequenze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 xml:space="preserve"> TSE/FSE 3D, variable flip angle in T1W, T2W, FLAIR, STIR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63049B" w14:textId="77777777" w:rsidR="00D55A1B" w:rsidRPr="006627DB" w:rsidRDefault="00D55A1B" w:rsidP="00D55A1B">
            <w:pPr>
              <w:rPr>
                <w:rFonts w:cs="Calibri"/>
                <w:color w:val="000000"/>
                <w:szCs w:val="20"/>
                <w:lang w:val="en-US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B49B68" w14:textId="77777777" w:rsidR="00D55A1B" w:rsidRPr="006627DB" w:rsidRDefault="00D55A1B" w:rsidP="00D55A1B">
            <w:pPr>
              <w:rPr>
                <w:rFonts w:cs="Calibri"/>
                <w:color w:val="000000"/>
                <w:szCs w:val="20"/>
                <w:lang w:val="en-US"/>
              </w:rPr>
            </w:pPr>
          </w:p>
        </w:tc>
      </w:tr>
      <w:tr w:rsidR="00D55A1B" w:rsidRPr="00BA781E" w14:paraId="4AF9F303" w14:textId="77777777" w:rsidTr="009C176B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1CE9B" w14:textId="47252C7C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>Sequenze di perfusione DSC (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Dinamic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Susceptibility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Contrast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>) con relativo software di elaborazione immagini, utilizzabile negli studi neuro. Sequenze di perfusione DCE (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Dinamic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Contrast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Enhancement). Sequenze di perfusione con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MdC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endogeno ASL (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Arterial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Spin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Labelling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>) 2D e/o 3D, con relativo software di elaborazione immagini, utilizzabile negli studi neuro.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001874" w14:textId="77777777" w:rsidR="00D55A1B" w:rsidRPr="00BA781E" w:rsidRDefault="00D55A1B" w:rsidP="00D55A1B">
            <w:pPr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B6F5A2" w14:textId="77777777" w:rsidR="00D55A1B" w:rsidRPr="00BA781E" w:rsidRDefault="00D55A1B" w:rsidP="00D55A1B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D55A1B" w:rsidRPr="006627DB" w14:paraId="7F51A80E" w14:textId="77777777" w:rsidTr="009C176B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858A" w14:textId="5D92F614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t xml:space="preserve">Sequenze EPI SE - DTI con n° direzioni del gradiente di diffusione ≥ 128, valore di b &gt; 5000 s/mm2 e software di calcolo di ADC e FA. Sequenze EPI </w:t>
            </w:r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 xml:space="preserve">GRE – BOLD </w:t>
            </w:r>
            <w:r w:rsidRPr="0007221A">
              <w:rPr>
                <w:rFonts w:asciiTheme="minorHAnsi" w:hAnsiTheme="minorHAnsi" w:cstheme="minorHAnsi"/>
                <w:strike/>
                <w:color w:val="000000"/>
                <w:szCs w:val="20"/>
                <w:highlight w:val="yellow"/>
              </w:rPr>
              <w:t xml:space="preserve">(anche </w:t>
            </w:r>
            <w:proofErr w:type="spellStart"/>
            <w:r w:rsidRPr="0007221A">
              <w:rPr>
                <w:rFonts w:asciiTheme="minorHAnsi" w:hAnsiTheme="minorHAnsi" w:cstheme="minorHAnsi"/>
                <w:strike/>
                <w:color w:val="000000"/>
                <w:szCs w:val="20"/>
                <w:highlight w:val="yellow"/>
              </w:rPr>
              <w:t>real</w:t>
            </w:r>
            <w:proofErr w:type="spellEnd"/>
            <w:r w:rsidRPr="0007221A">
              <w:rPr>
                <w:rFonts w:asciiTheme="minorHAnsi" w:hAnsiTheme="minorHAnsi" w:cstheme="minorHAnsi"/>
                <w:strike/>
                <w:color w:val="000000"/>
                <w:szCs w:val="20"/>
                <w:highlight w:val="yellow"/>
              </w:rPr>
              <w:t xml:space="preserve"> time).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CBFBF7" w14:textId="77777777" w:rsidR="00D55A1B" w:rsidRPr="006627D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DFDE2" w14:textId="77777777" w:rsidR="00D55A1B" w:rsidRPr="006627D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D55A1B" w:rsidRPr="00BA781E" w14:paraId="7C52E044" w14:textId="77777777" w:rsidTr="009C176B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922EF" w14:textId="69F73C92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 xml:space="preserve">Sequenze di spettroscopia SVS (Single Voxel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Spectroscopy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>) e CSI (Chemical Shift Imaging) 2D e 3D e relativo software di elaborazione immagini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AE22C9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794B84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</w:tr>
      <w:tr w:rsidR="00D55A1B" w:rsidRPr="00BA781E" w14:paraId="3F3007BD" w14:textId="77777777" w:rsidTr="009C176B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27E54" w14:textId="4CDBAF0A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 xml:space="preserve">Tecniche di contrasto con saturazione Acqua/Grasso basate su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chemical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shift (CHESS, CHESS-IR e/o CHESS-IR adiabatico, Water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Exitation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, Dixon SE e GRE). 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65061A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A7E604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</w:tr>
      <w:tr w:rsidR="00D55A1B" w:rsidRPr="00BA781E" w14:paraId="21CE3890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6E4CE" w14:textId="440E3ADC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>Tecniche di contrasto basate sulla suscettività magnetica e relativa elaborazione immagini tipo SWI (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Susceptibility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Weighted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Imaging)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C4869C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6CC500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</w:tr>
      <w:tr w:rsidR="00D55A1B" w:rsidRPr="00BA781E" w14:paraId="4696B0E4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3BF1A" w14:textId="70F4D5BF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Cs w:val="20"/>
              </w:rPr>
              <w:t xml:space="preserve">Tecniche angiografiche comprensive delle tecniche no </w:t>
            </w:r>
            <w:proofErr w:type="spellStart"/>
            <w:r w:rsidRPr="00D55A1B">
              <w:rPr>
                <w:rFonts w:asciiTheme="minorHAnsi" w:hAnsiTheme="minorHAnsi" w:cstheme="minorHAnsi"/>
                <w:bCs/>
                <w:szCs w:val="20"/>
              </w:rPr>
              <w:t>MdC</w:t>
            </w:r>
            <w:proofErr w:type="spellEnd"/>
            <w:r w:rsidRPr="00D55A1B">
              <w:rPr>
                <w:rFonts w:asciiTheme="minorHAnsi" w:hAnsiTheme="minorHAnsi" w:cstheme="minorHAnsi"/>
                <w:bCs/>
                <w:szCs w:val="20"/>
              </w:rPr>
              <w:t xml:space="preserve"> per studi vascolari e total body e relativi software di elaborazione delle immagini e dei flussi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973B29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C57142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</w:tr>
      <w:tr w:rsidR="00D55A1B" w:rsidRPr="00BA781E" w14:paraId="0AEFF434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0B0450" w14:textId="7BB8F9B1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 xml:space="preserve">Tecniche di acquisizione 3D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breath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hold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con saturazione del grasso CHESS, CHESS-IR e/o CHESS-IR Adiabatico e Dixon alle quali siano applicabili le tecniche di accelerazione, per acquisizioni dinamiche post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contrastografiche</w:t>
            </w:r>
            <w:proofErr w:type="spellEnd"/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B132FF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FE5AD7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</w:tr>
      <w:tr w:rsidR="00D55A1B" w:rsidRPr="00BA781E" w14:paraId="17F2E3AA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5A0CC" w14:textId="024FFE81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 xml:space="preserve">Tecniche dinamiche di acquisizione 3D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breath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hold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multiarteriose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(in singolo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breath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</w:rPr>
              <w:t>hold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</w:rPr>
              <w:t>)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16825B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3CB81" w14:textId="77777777" w:rsidR="00D55A1B" w:rsidRPr="00BA781E" w:rsidRDefault="00D55A1B" w:rsidP="00D55A1B">
            <w:pPr>
              <w:rPr>
                <w:rFonts w:cs="Calibri"/>
                <w:szCs w:val="20"/>
              </w:rPr>
            </w:pPr>
          </w:p>
        </w:tc>
      </w:tr>
      <w:tr w:rsidR="00D55A1B" w:rsidRPr="006627DB" w14:paraId="639B0F34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4B564" w14:textId="51E35070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t xml:space="preserve">Tecniche per la correzione di artefatti da movimento (flow </w:t>
            </w:r>
            <w:proofErr w:type="spellStart"/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t>compensation</w:t>
            </w:r>
            <w:proofErr w:type="spellEnd"/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t xml:space="preserve">, </w:t>
            </w:r>
            <w:proofErr w:type="spellStart"/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t>Radial</w:t>
            </w:r>
            <w:proofErr w:type="spellEnd"/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t>MultiShot</w:t>
            </w:r>
            <w:proofErr w:type="spellEnd"/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t xml:space="preserve">) 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FA5DB" w14:textId="77777777" w:rsidR="00D55A1B" w:rsidRPr="006627DB" w:rsidRDefault="00D55A1B" w:rsidP="00D55A1B">
            <w:pPr>
              <w:rPr>
                <w:rFonts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0A84F2" w14:textId="77777777" w:rsidR="00D55A1B" w:rsidRPr="006627DB" w:rsidRDefault="00D55A1B" w:rsidP="00D55A1B">
            <w:pPr>
              <w:rPr>
                <w:rFonts w:cs="Calibri"/>
                <w:b/>
                <w:bCs/>
                <w:color w:val="000000"/>
                <w:szCs w:val="20"/>
              </w:rPr>
            </w:pPr>
          </w:p>
        </w:tc>
      </w:tr>
      <w:tr w:rsidR="00D55A1B" w:rsidRPr="006627DB" w14:paraId="2555D9B8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32F2E" w14:textId="1891ADA9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 xml:space="preserve">Spessore di strato minimo in </w:t>
            </w:r>
            <w:r w:rsidRPr="00D55A1B">
              <w:rPr>
                <w:rFonts w:asciiTheme="minorHAnsi" w:hAnsiTheme="minorHAnsi" w:cstheme="minorHAnsi"/>
                <w:b/>
                <w:bCs/>
                <w:szCs w:val="20"/>
              </w:rPr>
              <w:t>2D</w:t>
            </w:r>
            <w:r w:rsidRPr="00D55A1B">
              <w:rPr>
                <w:rFonts w:asciiTheme="minorHAnsi" w:hAnsiTheme="minorHAnsi" w:cstheme="minorHAnsi"/>
                <w:szCs w:val="20"/>
              </w:rPr>
              <w:t xml:space="preserve"> ≤ 0.5 mm. Spessore di strato minimo in </w:t>
            </w:r>
            <w:r w:rsidRPr="00D55A1B">
              <w:rPr>
                <w:rFonts w:asciiTheme="minorHAnsi" w:hAnsiTheme="minorHAnsi" w:cstheme="minorHAnsi"/>
                <w:b/>
                <w:bCs/>
                <w:szCs w:val="20"/>
              </w:rPr>
              <w:t>3D</w:t>
            </w:r>
            <w:r w:rsidRPr="00D55A1B">
              <w:rPr>
                <w:rFonts w:asciiTheme="minorHAnsi" w:hAnsiTheme="minorHAnsi" w:cstheme="minorHAnsi"/>
                <w:szCs w:val="20"/>
              </w:rPr>
              <w:t xml:space="preserve"> ≤ 0.1 mm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55EA20" w14:textId="77777777" w:rsidR="00D55A1B" w:rsidRPr="006627DB" w:rsidRDefault="00D55A1B" w:rsidP="00D55A1B">
            <w:pPr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03B57A" w14:textId="77777777" w:rsidR="00D55A1B" w:rsidRPr="006627DB" w:rsidRDefault="00D55A1B" w:rsidP="00D55A1B">
            <w:pPr>
              <w:rPr>
                <w:rFonts w:cs="Calibri"/>
                <w:szCs w:val="20"/>
              </w:rPr>
            </w:pPr>
          </w:p>
        </w:tc>
      </w:tr>
      <w:tr w:rsidR="00D55A1B" w:rsidRPr="006627DB" w14:paraId="384E41AE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E3DDC" w14:textId="27BFF620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>Acquisizione in matrice 1024x1024 non interpolata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E80ED8" w14:textId="77777777" w:rsidR="00D55A1B" w:rsidRPr="006627D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E39DB" w14:textId="77777777" w:rsidR="00D55A1B" w:rsidRPr="006627D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D55A1B" w:rsidRPr="006627DB" w14:paraId="53411EAF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A6FC0" w14:textId="0A51F947" w:rsidR="00D55A1B" w:rsidRPr="00D55A1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>Dimensione massima del FOV ≥ 50*50*45 cm rispettivamente nei tre assi (x, y, z) in uso clinico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DDF3CA" w14:textId="77777777" w:rsidR="00D55A1B" w:rsidRPr="006627D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E5A76" w14:textId="77777777" w:rsidR="00D55A1B" w:rsidRPr="006627DB" w:rsidRDefault="00D55A1B" w:rsidP="00D55A1B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627DB" w:rsidRPr="006627DB" w14:paraId="51596B76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442F3CC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  <w:r w:rsidRPr="006627DB"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  <w:t>Workstation di acquisizione/comando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78F92E2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A029D4C" w14:textId="77777777" w:rsidR="006627DB" w:rsidRPr="006627DB" w:rsidRDefault="006627DB" w:rsidP="006627DB">
            <w:pPr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</w:tr>
      <w:tr w:rsidR="00D55A1B" w:rsidRPr="00BA781E" w14:paraId="131B0013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C7BA2" w14:textId="6078BEDE" w:rsidR="00D55A1B" w:rsidRPr="00D55A1B" w:rsidRDefault="00D55A1B" w:rsidP="00D55A1B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>Un monitor, a schermo piatto, a colori, ad alta risoluzione di dimensioni non inferiori a 23”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9FFA07" w14:textId="77777777" w:rsidR="00D55A1B" w:rsidRPr="00BA781E" w:rsidRDefault="00D55A1B" w:rsidP="00D55A1B">
            <w:pPr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47A1E7" w14:textId="77777777" w:rsidR="00D55A1B" w:rsidRPr="00BA781E" w:rsidRDefault="00D55A1B" w:rsidP="00D55A1B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D55A1B" w:rsidRPr="008C5EB8" w14:paraId="2A87D835" w14:textId="77777777" w:rsidTr="000B27D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E94C6" w14:textId="133F23F7" w:rsidR="00D55A1B" w:rsidRPr="00D55A1B" w:rsidRDefault="00D55A1B" w:rsidP="00D55A1B">
            <w:pPr>
              <w:spacing w:line="240" w:lineRule="auto"/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>Conformità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>allo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 xml:space="preserve"> standard DICOM 3 con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>fornitura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>delle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>seguenti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>classi</w:t>
            </w:r>
            <w:proofErr w:type="spellEnd"/>
            <w:r w:rsidRPr="00D55A1B">
              <w:rPr>
                <w:rFonts w:asciiTheme="minorHAnsi" w:hAnsiTheme="minorHAnsi" w:cstheme="minorHAnsi"/>
                <w:szCs w:val="20"/>
                <w:lang w:val="en-US"/>
              </w:rPr>
              <w:t>: Storage (Send/Receive), Query/Retrieve, Print, Get Worklist (HIS /RIS), MPPS, Storage Commitment, Viewer on CD/DVD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FE286D" w14:textId="77777777" w:rsidR="00D55A1B" w:rsidRPr="006627DB" w:rsidRDefault="00D55A1B" w:rsidP="00D55A1B">
            <w:pPr>
              <w:rPr>
                <w:rFonts w:cs="Calibri"/>
                <w:szCs w:val="20"/>
                <w:lang w:val="en-US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61B5C9" w14:textId="77777777" w:rsidR="00D55A1B" w:rsidRPr="006627DB" w:rsidRDefault="00D55A1B" w:rsidP="00D55A1B">
            <w:pPr>
              <w:rPr>
                <w:rFonts w:cs="Calibri"/>
                <w:szCs w:val="20"/>
                <w:lang w:val="en-US"/>
              </w:rPr>
            </w:pPr>
          </w:p>
        </w:tc>
      </w:tr>
      <w:tr w:rsidR="00D55A1B" w:rsidRPr="00BA781E" w14:paraId="3ADF47C0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E2A38" w14:textId="785381FC" w:rsidR="00D55A1B" w:rsidRPr="00D55A1B" w:rsidRDefault="00D55A1B" w:rsidP="00D55A1B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szCs w:val="20"/>
              </w:rPr>
              <w:t>Software di esportazione di immagini su disco USB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266C53" w14:textId="77777777" w:rsidR="00D55A1B" w:rsidRPr="00BA781E" w:rsidRDefault="00D55A1B" w:rsidP="00D55A1B">
            <w:pPr>
              <w:rPr>
                <w:rFonts w:cs="Calibri"/>
                <w:bCs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169F04" w14:textId="77777777" w:rsidR="00D55A1B" w:rsidRPr="00BA781E" w:rsidRDefault="00D55A1B" w:rsidP="00D55A1B">
            <w:pPr>
              <w:rPr>
                <w:rFonts w:cs="Calibri"/>
                <w:bCs/>
                <w:szCs w:val="20"/>
              </w:rPr>
            </w:pPr>
          </w:p>
        </w:tc>
      </w:tr>
      <w:tr w:rsidR="00D55A1B" w:rsidRPr="00BA781E" w14:paraId="7EABD3E7" w14:textId="77777777" w:rsidTr="00831FF5">
        <w:trPr>
          <w:trHeight w:val="2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06ECA" w14:textId="36AE96C9" w:rsidR="00D55A1B" w:rsidRPr="00D55A1B" w:rsidRDefault="00D55A1B" w:rsidP="00D55A1B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D55A1B">
              <w:rPr>
                <w:rFonts w:asciiTheme="minorHAnsi" w:hAnsiTheme="minorHAnsi" w:cstheme="minorHAnsi"/>
                <w:color w:val="000000"/>
                <w:szCs w:val="20"/>
              </w:rPr>
              <w:t>Software di composizione delle immagini tramite acquisizione di ampi campi di vista attraverso due o più FOV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6ED49" w14:textId="77777777" w:rsidR="00D55A1B" w:rsidRPr="00BA781E" w:rsidRDefault="00D55A1B" w:rsidP="00D55A1B">
            <w:pPr>
              <w:rPr>
                <w:rFonts w:cs="Calibri"/>
                <w:bCs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39E250" w14:textId="77777777" w:rsidR="00D55A1B" w:rsidRPr="00BA781E" w:rsidRDefault="00D55A1B" w:rsidP="00D55A1B">
            <w:pPr>
              <w:rPr>
                <w:rFonts w:cs="Calibri"/>
                <w:bCs/>
                <w:szCs w:val="20"/>
              </w:rPr>
            </w:pPr>
          </w:p>
        </w:tc>
      </w:tr>
    </w:tbl>
    <w:p w14:paraId="5C2ACA45" w14:textId="77777777" w:rsidR="00692997" w:rsidRDefault="00692997" w:rsidP="0036768D">
      <w:pPr>
        <w:rPr>
          <w:rFonts w:ascii="Calibri" w:hAnsi="Calibri"/>
        </w:rPr>
      </w:pPr>
    </w:p>
    <w:p w14:paraId="4A961AE0" w14:textId="77777777" w:rsidR="00D55A1B" w:rsidRDefault="00D55A1B" w:rsidP="0036768D">
      <w:pPr>
        <w:rPr>
          <w:rFonts w:ascii="Calibri" w:hAnsi="Calibri"/>
        </w:rPr>
      </w:pPr>
    </w:p>
    <w:p w14:paraId="709E9A65" w14:textId="77777777" w:rsidR="00B54801" w:rsidRPr="001D240E" w:rsidRDefault="00B54801" w:rsidP="0036768D">
      <w:pPr>
        <w:rPr>
          <w:rFonts w:ascii="Calibri" w:hAnsi="Calibri"/>
        </w:rPr>
      </w:pPr>
    </w:p>
    <w:tbl>
      <w:tblPr>
        <w:tblW w:w="5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985"/>
        <w:gridCol w:w="1701"/>
      </w:tblGrid>
      <w:tr w:rsidR="00AE3762" w:rsidRPr="00A30A7F" w14:paraId="63468AC8" w14:textId="77777777" w:rsidTr="006474D0">
        <w:trPr>
          <w:cantSplit/>
          <w:trHeight w:val="567"/>
          <w:tblHeader/>
          <w:jc w:val="center"/>
        </w:trPr>
        <w:tc>
          <w:tcPr>
            <w:tcW w:w="3115" w:type="pct"/>
            <w:shd w:val="clear" w:color="auto" w:fill="002060"/>
            <w:vAlign w:val="center"/>
            <w:hideMark/>
          </w:tcPr>
          <w:p w14:paraId="0F961306" w14:textId="77777777" w:rsidR="00AE3762" w:rsidRPr="00A30A7F" w:rsidRDefault="00AE3762" w:rsidP="006627DB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lastRenderedPageBreak/>
              <w:t>DISPOSITIVI OPZIONALI</w:t>
            </w:r>
            <w:r w:rsidR="004E5BF6">
              <w:rPr>
                <w:rFonts w:ascii="Calibri" w:hAnsi="Calibri"/>
                <w:b/>
                <w:bCs/>
                <w:color w:val="FFFFFF"/>
                <w:szCs w:val="20"/>
              </w:rPr>
              <w:t xml:space="preserve"> </w:t>
            </w:r>
          </w:p>
        </w:tc>
        <w:tc>
          <w:tcPr>
            <w:tcW w:w="1015" w:type="pct"/>
            <w:shd w:val="clear" w:color="auto" w:fill="002060"/>
            <w:vAlign w:val="center"/>
          </w:tcPr>
          <w:p w14:paraId="0B648A40" w14:textId="77777777"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870" w:type="pct"/>
            <w:shd w:val="clear" w:color="auto" w:fill="002060"/>
            <w:vAlign w:val="center"/>
          </w:tcPr>
          <w:p w14:paraId="2B186E27" w14:textId="77777777"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D55A1B" w:rsidRPr="004D66C6" w14:paraId="32D42C6C" w14:textId="77777777" w:rsidTr="00831FF5">
        <w:trPr>
          <w:cantSplit/>
          <w:trHeight w:val="20"/>
          <w:jc w:val="center"/>
        </w:trPr>
        <w:tc>
          <w:tcPr>
            <w:tcW w:w="3115" w:type="pct"/>
            <w:shd w:val="clear" w:color="auto" w:fill="auto"/>
            <w:vAlign w:val="center"/>
          </w:tcPr>
          <w:p w14:paraId="244718D6" w14:textId="69833B06" w:rsidR="00D55A1B" w:rsidRPr="00D55A1B" w:rsidRDefault="00D55A1B" w:rsidP="00D55A1B">
            <w:pPr>
              <w:spacing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55A1B">
              <w:rPr>
                <w:rFonts w:asciiTheme="minorHAnsi" w:hAnsiTheme="minorHAnsi" w:cstheme="minorHAnsi"/>
                <w:b/>
                <w:bCs/>
                <w:szCs w:val="20"/>
              </w:rPr>
              <w:t>Bobina per la copertura degli arti inferiori</w:t>
            </w:r>
            <w:r w:rsidRPr="00D55A1B">
              <w:rPr>
                <w:rFonts w:asciiTheme="minorHAnsi" w:hAnsiTheme="minorHAnsi" w:cstheme="minorHAnsi"/>
                <w:bCs/>
                <w:szCs w:val="20"/>
              </w:rPr>
              <w:t xml:space="preserve"> con almeno 16 canali per studi total body </w:t>
            </w:r>
          </w:p>
        </w:tc>
        <w:tc>
          <w:tcPr>
            <w:tcW w:w="1015" w:type="pct"/>
            <w:vAlign w:val="center"/>
          </w:tcPr>
          <w:p w14:paraId="56909F16" w14:textId="77777777" w:rsidR="00D55A1B" w:rsidRPr="004D66C6" w:rsidRDefault="00D55A1B" w:rsidP="00D55A1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14:paraId="0533E490" w14:textId="77777777" w:rsidR="00D55A1B" w:rsidRPr="004D66C6" w:rsidRDefault="00D55A1B" w:rsidP="00D55A1B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D55A1B" w:rsidRPr="004D66C6" w14:paraId="1CABF595" w14:textId="77777777" w:rsidTr="00831FF5">
        <w:trPr>
          <w:cantSplit/>
          <w:trHeight w:val="20"/>
          <w:jc w:val="center"/>
        </w:trPr>
        <w:tc>
          <w:tcPr>
            <w:tcW w:w="3115" w:type="pct"/>
            <w:shd w:val="clear" w:color="auto" w:fill="auto"/>
            <w:vAlign w:val="center"/>
          </w:tcPr>
          <w:p w14:paraId="6A7C5215" w14:textId="77777777" w:rsidR="00D55A1B" w:rsidRPr="00D55A1B" w:rsidRDefault="00D55A1B" w:rsidP="00D55A1B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D55A1B">
              <w:rPr>
                <w:rFonts w:asciiTheme="minorHAnsi" w:hAnsiTheme="minorHAnsi" w:cstheme="minorHAnsi"/>
                <w:b/>
                <w:bCs/>
                <w:szCs w:val="20"/>
              </w:rPr>
              <w:t>Pacchetto cardio</w:t>
            </w:r>
            <w:r w:rsidRPr="00D55A1B">
              <w:rPr>
                <w:rFonts w:asciiTheme="minorHAnsi" w:hAnsiTheme="minorHAnsi" w:cstheme="minorHAnsi"/>
                <w:bCs/>
                <w:szCs w:val="20"/>
              </w:rPr>
              <w:t xml:space="preserve">: </w:t>
            </w:r>
          </w:p>
          <w:p w14:paraId="3E65E7F7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Sequenze dedicate allo studio morfologico di cuore e vasi con pesatura T1, T2 e DP con applicazione delle tecniche di saturazione del grasso e del sangue; </w:t>
            </w:r>
          </w:p>
          <w:p w14:paraId="6680BDA1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Studio dinamico multifase di cuore e valvole; </w:t>
            </w:r>
          </w:p>
          <w:p w14:paraId="73F7AD97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Studio della perfusione cardiaca e studio del </w:t>
            </w:r>
            <w:proofErr w:type="spellStart"/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Gadolinium</w:t>
            </w:r>
            <w:proofErr w:type="spellEnd"/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Late Enhancement 2D e 3D; </w:t>
            </w:r>
          </w:p>
          <w:p w14:paraId="7FCB6D77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Studio delle arterie coronarie con acquisizioni 2D e/o 3D;</w:t>
            </w:r>
          </w:p>
          <w:p w14:paraId="63B2D7F7" w14:textId="3E8C2EC1" w:rsidR="00D55A1B" w:rsidRPr="0007221A" w:rsidRDefault="00D55A1B" w:rsidP="0007221A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Sequenze dedicate allo studio quantitativo mapping </w:t>
            </w:r>
            <w:r w:rsidRPr="0007221A">
              <w:rPr>
                <w:rFonts w:asciiTheme="minorHAnsi" w:hAnsiTheme="minorHAnsi" w:cstheme="minorHAnsi"/>
                <w:bCs/>
                <w:strike/>
                <w:sz w:val="20"/>
                <w:szCs w:val="20"/>
                <w:highlight w:val="yellow"/>
              </w:rPr>
              <w:t>T1</w:t>
            </w: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, T2, T2* del cuore con sincronizzazione ECG e relativo post-processing di elaborazione delle immagini;</w:t>
            </w:r>
          </w:p>
          <w:p w14:paraId="261C0C3F" w14:textId="5F13FD97" w:rsidR="00D55A1B" w:rsidRPr="00D55A1B" w:rsidRDefault="00D55A1B" w:rsidP="00D55A1B">
            <w:pPr>
              <w:spacing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Cs w:val="20"/>
              </w:rPr>
              <w:t xml:space="preserve">Le tecniche elencate devono avere la possibilità di sincronizzazione ECG ed acquisizione in </w:t>
            </w:r>
            <w:proofErr w:type="spellStart"/>
            <w:r w:rsidRPr="00D55A1B">
              <w:rPr>
                <w:rFonts w:asciiTheme="minorHAnsi" w:hAnsiTheme="minorHAnsi" w:cstheme="minorHAnsi"/>
                <w:bCs/>
                <w:szCs w:val="20"/>
              </w:rPr>
              <w:t>Breath</w:t>
            </w:r>
            <w:proofErr w:type="spellEnd"/>
            <w:r w:rsidRPr="00D55A1B"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proofErr w:type="spellStart"/>
            <w:r w:rsidRPr="00D55A1B">
              <w:rPr>
                <w:rFonts w:asciiTheme="minorHAnsi" w:hAnsiTheme="minorHAnsi" w:cstheme="minorHAnsi"/>
                <w:bCs/>
                <w:szCs w:val="20"/>
              </w:rPr>
              <w:t>Hold</w:t>
            </w:r>
            <w:proofErr w:type="spellEnd"/>
            <w:r w:rsidRPr="00D55A1B">
              <w:rPr>
                <w:rFonts w:asciiTheme="minorHAnsi" w:hAnsiTheme="minorHAnsi" w:cstheme="minorHAnsi"/>
                <w:bCs/>
                <w:szCs w:val="20"/>
              </w:rPr>
              <w:t xml:space="preserve"> o dove necessario a respiro libero con trigger esterno (cuscinetto) o interno (navigatori).</w:t>
            </w:r>
          </w:p>
        </w:tc>
        <w:tc>
          <w:tcPr>
            <w:tcW w:w="1015" w:type="pct"/>
            <w:vAlign w:val="center"/>
          </w:tcPr>
          <w:p w14:paraId="1D0E8144" w14:textId="77777777" w:rsidR="00D55A1B" w:rsidRPr="004D66C6" w:rsidRDefault="00D55A1B" w:rsidP="00D55A1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14:paraId="5081BFE8" w14:textId="77777777" w:rsidR="00D55A1B" w:rsidRPr="004D66C6" w:rsidRDefault="00D55A1B" w:rsidP="00D55A1B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D55A1B" w:rsidRPr="004D66C6" w14:paraId="02BE48D2" w14:textId="77777777" w:rsidTr="00831FF5">
        <w:trPr>
          <w:cantSplit/>
          <w:trHeight w:val="20"/>
          <w:jc w:val="center"/>
        </w:trPr>
        <w:tc>
          <w:tcPr>
            <w:tcW w:w="3115" w:type="pct"/>
            <w:shd w:val="clear" w:color="auto" w:fill="auto"/>
            <w:vAlign w:val="center"/>
          </w:tcPr>
          <w:p w14:paraId="1CF4620C" w14:textId="77777777" w:rsidR="00D55A1B" w:rsidRPr="00D55A1B" w:rsidRDefault="00D55A1B" w:rsidP="00D55A1B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D55A1B">
              <w:rPr>
                <w:rFonts w:asciiTheme="minorHAnsi" w:hAnsiTheme="minorHAnsi" w:cstheme="minorHAnsi"/>
                <w:b/>
                <w:bCs/>
                <w:szCs w:val="20"/>
              </w:rPr>
              <w:t>Workstation di post-elaborazione</w:t>
            </w:r>
            <w:r w:rsidRPr="00D55A1B">
              <w:rPr>
                <w:rFonts w:asciiTheme="minorHAnsi" w:hAnsiTheme="minorHAnsi" w:cstheme="minorHAnsi"/>
                <w:bCs/>
                <w:szCs w:val="20"/>
              </w:rPr>
              <w:t xml:space="preserve"> (integrata da un punto di vista operativo con la workstation principale ma dotata di proprio processore indipendente), completa di:</w:t>
            </w:r>
          </w:p>
          <w:p w14:paraId="6662382E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Sistema di archiviazione ed elaborazione immagini</w:t>
            </w:r>
          </w:p>
          <w:p w14:paraId="61122409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Elaborazione 3D</w:t>
            </w:r>
          </w:p>
          <w:p w14:paraId="0FFD599E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Elaborazione sequenze dinamiche </w:t>
            </w:r>
            <w:proofErr w:type="spellStart"/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m.d.c</w:t>
            </w:r>
            <w:proofErr w:type="spellEnd"/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0563CEE7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Perfusione cerebrale DSC con mappe a colori</w:t>
            </w:r>
          </w:p>
          <w:p w14:paraId="610538DA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Perfusione body DCE con mappe a colori</w:t>
            </w:r>
          </w:p>
          <w:p w14:paraId="2062E13C" w14:textId="77777777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Software di post-elaborazione e visualizzazione immagini neuro (tensore di diffusione, </w:t>
            </w:r>
            <w:proofErr w:type="spellStart"/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trattografia</w:t>
            </w:r>
            <w:proofErr w:type="spellEnd"/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 studi funzionali)</w:t>
            </w:r>
          </w:p>
          <w:p w14:paraId="7A83ED55" w14:textId="77777777" w:rsid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Gestione delle altre modalità di imaging (TC, RX)</w:t>
            </w:r>
          </w:p>
          <w:p w14:paraId="215012CC" w14:textId="38F3C2C6" w:rsidR="00D55A1B" w:rsidRPr="00D55A1B" w:rsidRDefault="00D55A1B" w:rsidP="00D55A1B">
            <w:pPr>
              <w:pStyle w:val="Paragrafoelenco"/>
              <w:numPr>
                <w:ilvl w:val="0"/>
                <w:numId w:val="29"/>
              </w:numPr>
              <w:spacing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5A1B">
              <w:rPr>
                <w:rFonts w:asciiTheme="minorHAnsi" w:hAnsiTheme="minorHAnsi" w:cstheme="minorHAnsi"/>
                <w:bCs/>
                <w:sz w:val="20"/>
                <w:szCs w:val="20"/>
              </w:rPr>
              <w:t>Monitor a schermo piatto, a colori, ad alta risoluzione e di dimensioni ≥ 24” o, in alternativa, due monitor, a schermo piatto, a colori, ad alta risoluzione e di dimensioni ≥ 19”</w:t>
            </w:r>
          </w:p>
        </w:tc>
        <w:tc>
          <w:tcPr>
            <w:tcW w:w="1015" w:type="pct"/>
            <w:vAlign w:val="center"/>
          </w:tcPr>
          <w:p w14:paraId="17EDCD6A" w14:textId="77777777" w:rsidR="00D55A1B" w:rsidRPr="004D66C6" w:rsidRDefault="00D55A1B" w:rsidP="00D55A1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14:paraId="18EE22EB" w14:textId="77777777" w:rsidR="00D55A1B" w:rsidRPr="004D66C6" w:rsidRDefault="00D55A1B" w:rsidP="00D55A1B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D55A1B" w:rsidRPr="004D66C6" w14:paraId="2DBCE1B7" w14:textId="77777777" w:rsidTr="00831FF5">
        <w:trPr>
          <w:cantSplit/>
          <w:trHeight w:val="20"/>
          <w:jc w:val="center"/>
        </w:trPr>
        <w:tc>
          <w:tcPr>
            <w:tcW w:w="3115" w:type="pct"/>
            <w:shd w:val="clear" w:color="auto" w:fill="auto"/>
            <w:vAlign w:val="center"/>
          </w:tcPr>
          <w:p w14:paraId="58FC63A6" w14:textId="467A4BE1" w:rsidR="00D55A1B" w:rsidRPr="00D55A1B" w:rsidRDefault="00D55A1B" w:rsidP="00D55A1B">
            <w:pPr>
              <w:spacing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55A1B">
              <w:rPr>
                <w:rFonts w:asciiTheme="minorHAnsi" w:hAnsiTheme="minorHAnsi" w:cstheme="minorHAnsi"/>
                <w:b/>
                <w:bCs/>
                <w:szCs w:val="20"/>
              </w:rPr>
              <w:t>Sistema server</w:t>
            </w:r>
            <w:r w:rsidRPr="00D55A1B">
              <w:rPr>
                <w:rFonts w:asciiTheme="minorHAnsi" w:hAnsiTheme="minorHAnsi" w:cstheme="minorHAnsi"/>
                <w:bCs/>
                <w:szCs w:val="20"/>
              </w:rPr>
              <w:t xml:space="preserve"> per la gestione di almeno 3 utenze contemporanee comprensivo di 3 postazioni client per la post elaborazione di studi RM</w:t>
            </w:r>
          </w:p>
        </w:tc>
        <w:tc>
          <w:tcPr>
            <w:tcW w:w="1015" w:type="pct"/>
            <w:vAlign w:val="center"/>
          </w:tcPr>
          <w:p w14:paraId="6587BC75" w14:textId="77777777" w:rsidR="00D55A1B" w:rsidRPr="004D66C6" w:rsidRDefault="00D55A1B" w:rsidP="00D55A1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14:paraId="2355CD97" w14:textId="77777777" w:rsidR="00D55A1B" w:rsidRPr="004D66C6" w:rsidRDefault="00D55A1B" w:rsidP="00D55A1B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22BE460" w14:textId="77777777" w:rsidR="00A56E34" w:rsidRPr="001D240E" w:rsidRDefault="00A56E34" w:rsidP="0036768D">
      <w:pPr>
        <w:rPr>
          <w:rFonts w:ascii="Calibri" w:hAnsi="Calibri"/>
        </w:rPr>
      </w:pPr>
    </w:p>
    <w:p w14:paraId="28E507E0" w14:textId="3740794B" w:rsidR="00692997" w:rsidRPr="001D240E" w:rsidRDefault="00692997" w:rsidP="0036768D">
      <w:pPr>
        <w:rPr>
          <w:rFonts w:ascii="Calibri" w:hAnsi="Calibri"/>
        </w:rPr>
      </w:pPr>
    </w:p>
    <w:tbl>
      <w:tblPr>
        <w:tblW w:w="5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595"/>
        <w:gridCol w:w="1867"/>
        <w:gridCol w:w="1676"/>
      </w:tblGrid>
      <w:tr w:rsidR="002B5162" w:rsidRPr="00A30A7F" w14:paraId="54386581" w14:textId="77777777" w:rsidTr="00D55A1B">
        <w:trPr>
          <w:cantSplit/>
          <w:trHeight w:val="567"/>
          <w:tblHeader/>
          <w:jc w:val="center"/>
        </w:trPr>
        <w:tc>
          <w:tcPr>
            <w:tcW w:w="257" w:type="pct"/>
            <w:shd w:val="clear" w:color="auto" w:fill="002060"/>
          </w:tcPr>
          <w:p w14:paraId="756BDD69" w14:textId="77777777" w:rsidR="002B5162" w:rsidRPr="00654D65" w:rsidRDefault="002B5162" w:rsidP="00006014">
            <w:pPr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2904" w:type="pct"/>
            <w:shd w:val="clear" w:color="auto" w:fill="002060"/>
            <w:vAlign w:val="center"/>
            <w:hideMark/>
          </w:tcPr>
          <w:p w14:paraId="4619F876" w14:textId="77777777" w:rsidR="002B5162" w:rsidRPr="00A30A7F" w:rsidRDefault="002B5162" w:rsidP="006627DB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MIGLIORATIVE</w:t>
            </w:r>
          </w:p>
        </w:tc>
        <w:tc>
          <w:tcPr>
            <w:tcW w:w="969" w:type="pct"/>
            <w:shd w:val="clear" w:color="auto" w:fill="002060"/>
            <w:vAlign w:val="center"/>
          </w:tcPr>
          <w:p w14:paraId="6D5D8F52" w14:textId="77777777" w:rsidR="002B5162" w:rsidRPr="00654D65" w:rsidRDefault="002B51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870" w:type="pct"/>
            <w:shd w:val="clear" w:color="auto" w:fill="002060"/>
            <w:vAlign w:val="center"/>
          </w:tcPr>
          <w:p w14:paraId="39502F6E" w14:textId="77777777" w:rsidR="002B5162" w:rsidRPr="00654D65" w:rsidRDefault="002B51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5F63FC" w:rsidRPr="00B54801" w14:paraId="194E06FC" w14:textId="77777777" w:rsidTr="00D55A1B">
        <w:trPr>
          <w:cantSplit/>
          <w:trHeight w:val="383"/>
          <w:jc w:val="center"/>
        </w:trPr>
        <w:tc>
          <w:tcPr>
            <w:tcW w:w="257" w:type="pct"/>
          </w:tcPr>
          <w:p w14:paraId="129AD7D7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5956FBA4" w14:textId="0E8F2D01" w:rsidR="005F63FC" w:rsidRPr="00B54801" w:rsidRDefault="005F63FC" w:rsidP="005F63FC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810EF8">
              <w:rPr>
                <w:rFonts w:ascii="Calibri" w:hAnsi="Calibri" w:cs="Calibri"/>
                <w:sz w:val="18"/>
                <w:szCs w:val="18"/>
              </w:rPr>
              <w:t>Valore garantito dell'omogeneità del campo magnetico (max valore ppm) misurato come V-RMS (almeno 24 piani, almeno 20 punti di misura per piano), su sfere di riferimento all'</w:t>
            </w:r>
            <w:proofErr w:type="spellStart"/>
            <w:r w:rsidRPr="00810EF8">
              <w:rPr>
                <w:rFonts w:ascii="Calibri" w:hAnsi="Calibri" w:cs="Calibri"/>
                <w:sz w:val="18"/>
                <w:szCs w:val="18"/>
              </w:rPr>
              <w:t>isocentro</w:t>
            </w:r>
            <w:proofErr w:type="spellEnd"/>
            <w:r w:rsidRPr="00810EF8">
              <w:rPr>
                <w:rFonts w:ascii="Calibri" w:hAnsi="Calibri" w:cs="Calibri"/>
                <w:sz w:val="18"/>
                <w:szCs w:val="18"/>
              </w:rPr>
              <w:t xml:space="preserve"> di diametro 45 cm</w:t>
            </w:r>
          </w:p>
        </w:tc>
        <w:tc>
          <w:tcPr>
            <w:tcW w:w="969" w:type="pct"/>
            <w:vAlign w:val="center"/>
          </w:tcPr>
          <w:p w14:paraId="7900A6AE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70" w:type="pct"/>
            <w:vAlign w:val="center"/>
          </w:tcPr>
          <w:p w14:paraId="290754D4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5F63FC" w:rsidRPr="00B54801" w14:paraId="438BD48E" w14:textId="77777777" w:rsidTr="00D55A1B">
        <w:trPr>
          <w:cantSplit/>
          <w:trHeight w:val="418"/>
          <w:jc w:val="center"/>
        </w:trPr>
        <w:tc>
          <w:tcPr>
            <w:tcW w:w="257" w:type="pct"/>
          </w:tcPr>
          <w:p w14:paraId="616EAD57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1.2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6DFCBA7E" w14:textId="25BE39A9" w:rsidR="005F63FC" w:rsidRPr="00B54801" w:rsidRDefault="005F63FC" w:rsidP="005F63FC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867179">
              <w:rPr>
                <w:rFonts w:ascii="Calibri" w:hAnsi="Calibri" w:cs="Calibri"/>
                <w:color w:val="000000"/>
                <w:sz w:val="18"/>
                <w:szCs w:val="18"/>
              </w:rPr>
              <w:t>Sequenze con pesatura in DWI con acquisizione con FOV ridotto</w:t>
            </w:r>
          </w:p>
        </w:tc>
        <w:tc>
          <w:tcPr>
            <w:tcW w:w="969" w:type="pct"/>
            <w:vAlign w:val="center"/>
          </w:tcPr>
          <w:p w14:paraId="138B7674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70" w:type="pct"/>
            <w:vAlign w:val="center"/>
          </w:tcPr>
          <w:p w14:paraId="684BEB39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5F63FC" w:rsidRPr="00B54801" w14:paraId="4D6489EF" w14:textId="77777777" w:rsidTr="00D55A1B">
        <w:trPr>
          <w:cantSplit/>
          <w:trHeight w:val="410"/>
          <w:jc w:val="center"/>
        </w:trPr>
        <w:tc>
          <w:tcPr>
            <w:tcW w:w="257" w:type="pct"/>
          </w:tcPr>
          <w:p w14:paraId="6666262C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lastRenderedPageBreak/>
              <w:t>1.3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393B40D5" w14:textId="0DB6C803" w:rsidR="005F63FC" w:rsidRPr="005F63FC" w:rsidRDefault="005F63FC" w:rsidP="005F63FC">
            <w:pPr>
              <w:ind w:right="17"/>
              <w:contextualSpacing/>
              <w:rPr>
                <w:rFonts w:asciiTheme="minorHAnsi" w:eastAsia="PMingLiU" w:hAnsiTheme="minorHAnsi" w:cstheme="minorHAnsi"/>
                <w:szCs w:val="20"/>
              </w:rPr>
            </w:pPr>
            <w:r w:rsidRPr="00893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Tecniche di accelerazione basate su </w:t>
            </w:r>
            <w:proofErr w:type="spellStart"/>
            <w:r w:rsidRPr="00893BC5">
              <w:rPr>
                <w:rFonts w:ascii="Calibri" w:hAnsi="Calibri" w:cs="Calibri"/>
                <w:color w:val="000000"/>
                <w:sz w:val="18"/>
                <w:szCs w:val="18"/>
              </w:rPr>
              <w:t>Compressed</w:t>
            </w:r>
            <w:proofErr w:type="spellEnd"/>
            <w:r w:rsidRPr="00893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Sensing/</w:t>
            </w:r>
            <w:proofErr w:type="spellStart"/>
            <w:r w:rsidRPr="00893BC5">
              <w:rPr>
                <w:rFonts w:ascii="Calibri" w:hAnsi="Calibri" w:cs="Calibri"/>
                <w:color w:val="000000"/>
                <w:sz w:val="18"/>
                <w:szCs w:val="18"/>
              </w:rPr>
              <w:t>Sense</w:t>
            </w:r>
            <w:proofErr w:type="spellEnd"/>
            <w:r w:rsidRPr="00893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applicabili a sequenze 2D e/o 3D</w:t>
            </w:r>
          </w:p>
        </w:tc>
        <w:tc>
          <w:tcPr>
            <w:tcW w:w="969" w:type="pct"/>
            <w:vAlign w:val="center"/>
          </w:tcPr>
          <w:p w14:paraId="31330140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70" w:type="pct"/>
            <w:vAlign w:val="center"/>
          </w:tcPr>
          <w:p w14:paraId="0CC3C4E0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5F63FC" w:rsidRPr="00B54801" w14:paraId="455F857E" w14:textId="77777777" w:rsidTr="00D55A1B">
        <w:trPr>
          <w:cantSplit/>
          <w:trHeight w:val="415"/>
          <w:jc w:val="center"/>
        </w:trPr>
        <w:tc>
          <w:tcPr>
            <w:tcW w:w="257" w:type="pct"/>
          </w:tcPr>
          <w:p w14:paraId="250C7762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1.4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6A4CB11B" w14:textId="3823D6BC" w:rsidR="005F63FC" w:rsidRPr="00B54801" w:rsidRDefault="005F63FC" w:rsidP="005F63FC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6A7EC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Tecniche di accelerazione basate su </w:t>
            </w:r>
            <w:proofErr w:type="spellStart"/>
            <w:r w:rsidRPr="006A7EC0">
              <w:rPr>
                <w:rFonts w:asciiTheme="minorHAnsi" w:hAnsiTheme="minorHAnsi" w:cstheme="minorHAnsi"/>
                <w:bCs/>
                <w:sz w:val="18"/>
                <w:szCs w:val="18"/>
              </w:rPr>
              <w:t>Simultaneus</w:t>
            </w:r>
            <w:proofErr w:type="spellEnd"/>
            <w:r w:rsidRPr="006A7EC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6A7EC0">
              <w:rPr>
                <w:rFonts w:asciiTheme="minorHAnsi" w:hAnsiTheme="minorHAnsi" w:cstheme="minorHAnsi"/>
                <w:bCs/>
                <w:sz w:val="18"/>
                <w:szCs w:val="18"/>
              </w:rPr>
              <w:t>Multislice</w:t>
            </w:r>
            <w:proofErr w:type="spellEnd"/>
            <w:r w:rsidRPr="006A7EC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9" w:type="pct"/>
            <w:vAlign w:val="center"/>
          </w:tcPr>
          <w:p w14:paraId="1B335617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70" w:type="pct"/>
            <w:vAlign w:val="center"/>
          </w:tcPr>
          <w:p w14:paraId="1B7A7ECF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5F63FC" w:rsidRPr="00B54801" w14:paraId="7ABB0FCC" w14:textId="77777777" w:rsidTr="00D55A1B">
        <w:trPr>
          <w:cantSplit/>
          <w:trHeight w:val="420"/>
          <w:jc w:val="center"/>
        </w:trPr>
        <w:tc>
          <w:tcPr>
            <w:tcW w:w="257" w:type="pct"/>
            <w:vAlign w:val="center"/>
          </w:tcPr>
          <w:p w14:paraId="7C9118BF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1.5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656F5FC1" w14:textId="51F1B440" w:rsidR="005F63FC" w:rsidRPr="00B54801" w:rsidRDefault="005F63FC" w:rsidP="005F63FC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867179">
              <w:rPr>
                <w:rFonts w:ascii="Calibri" w:hAnsi="Calibri" w:cs="Calibri"/>
                <w:color w:val="000000"/>
                <w:sz w:val="18"/>
                <w:szCs w:val="18"/>
              </w:rPr>
              <w:t>Tecniche di correzione della distorsione in-</w:t>
            </w:r>
            <w:proofErr w:type="spellStart"/>
            <w:r w:rsidRPr="00867179">
              <w:rPr>
                <w:rFonts w:ascii="Calibri" w:hAnsi="Calibri" w:cs="Calibri"/>
                <w:color w:val="000000"/>
                <w:sz w:val="18"/>
                <w:szCs w:val="18"/>
              </w:rPr>
              <w:t>plane</w:t>
            </w:r>
            <w:proofErr w:type="spellEnd"/>
            <w:r w:rsidRPr="0086717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(2D) e/o </w:t>
            </w:r>
            <w:proofErr w:type="spellStart"/>
            <w:r w:rsidRPr="00867179">
              <w:rPr>
                <w:rFonts w:ascii="Calibri" w:hAnsi="Calibri" w:cs="Calibri"/>
                <w:color w:val="000000"/>
                <w:sz w:val="18"/>
                <w:szCs w:val="18"/>
              </w:rPr>
              <w:t>trough-plane</w:t>
            </w:r>
            <w:proofErr w:type="spellEnd"/>
            <w:r w:rsidRPr="0086717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(3D) da metallo </w:t>
            </w:r>
          </w:p>
        </w:tc>
        <w:tc>
          <w:tcPr>
            <w:tcW w:w="969" w:type="pct"/>
            <w:vAlign w:val="center"/>
          </w:tcPr>
          <w:p w14:paraId="7CB95F6D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70" w:type="pct"/>
            <w:vAlign w:val="center"/>
          </w:tcPr>
          <w:p w14:paraId="6E8EE383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5F63FC" w:rsidRPr="00B54801" w14:paraId="500531A1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755A0502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1.6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197F2054" w14:textId="409CDFCE" w:rsidR="005F63FC" w:rsidRPr="00B54801" w:rsidRDefault="005F63FC" w:rsidP="005F63FC">
            <w:pPr>
              <w:rPr>
                <w:rFonts w:asciiTheme="minorHAnsi" w:eastAsia="Calibri" w:hAnsiTheme="minorHAnsi" w:cstheme="minorHAnsi"/>
                <w:bCs/>
                <w:szCs w:val="20"/>
              </w:rPr>
            </w:pPr>
            <w:r w:rsidRPr="00867179">
              <w:rPr>
                <w:rFonts w:ascii="Calibri" w:hAnsi="Calibri" w:cs="Calibri"/>
                <w:color w:val="000000"/>
                <w:sz w:val="18"/>
                <w:szCs w:val="18"/>
              </w:rPr>
              <w:t>Tecniche dinamiche di acquisizione 3D a respiro libero per lo studio del parenchima epatico</w:t>
            </w:r>
          </w:p>
        </w:tc>
        <w:tc>
          <w:tcPr>
            <w:tcW w:w="969" w:type="pct"/>
            <w:vAlign w:val="center"/>
          </w:tcPr>
          <w:p w14:paraId="3D080112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771DDF1C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</w:tr>
      <w:tr w:rsidR="005F63FC" w:rsidRPr="00B54801" w14:paraId="4F48A4ED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724DBC16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1.7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2B358697" w14:textId="5D42B288" w:rsidR="005F63FC" w:rsidRPr="00B54801" w:rsidRDefault="005F63FC" w:rsidP="005F63FC">
            <w:pPr>
              <w:contextualSpacing/>
              <w:jc w:val="left"/>
              <w:rPr>
                <w:rFonts w:asciiTheme="minorHAnsi" w:eastAsia="PMingLiU" w:hAnsiTheme="minorHAnsi" w:cstheme="minorHAnsi"/>
                <w:szCs w:val="20"/>
              </w:rPr>
            </w:pPr>
            <w:r w:rsidRPr="006A7EC0">
              <w:rPr>
                <w:rFonts w:asciiTheme="minorHAnsi" w:hAnsiTheme="minorHAnsi" w:cstheme="minorHAnsi"/>
                <w:sz w:val="18"/>
                <w:szCs w:val="18"/>
              </w:rPr>
              <w:t xml:space="preserve">Tecniche per calcolare la frazione di grasso ed il tempo di rilassamento T2* (in </w:t>
            </w:r>
            <w:proofErr w:type="spellStart"/>
            <w:r w:rsidRPr="006A7EC0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Pr="006A7EC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969" w:type="pct"/>
            <w:vAlign w:val="center"/>
          </w:tcPr>
          <w:p w14:paraId="3F79063A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20F0C1D4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</w:tr>
      <w:tr w:rsidR="005F63FC" w:rsidRPr="00B54801" w14:paraId="6D44B961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30EBF9CE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1.8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67DB2847" w14:textId="62C7FD4C" w:rsidR="005F63FC" w:rsidRPr="00B54801" w:rsidRDefault="005F63FC" w:rsidP="005F63FC">
            <w:pPr>
              <w:rPr>
                <w:rFonts w:asciiTheme="minorHAnsi" w:hAnsiTheme="minorHAnsi" w:cstheme="minorHAnsi"/>
                <w:szCs w:val="20"/>
              </w:rPr>
            </w:pPr>
            <w:r w:rsidRPr="006A7EC0">
              <w:rPr>
                <w:rFonts w:asciiTheme="minorHAnsi" w:hAnsiTheme="minorHAnsi" w:cstheme="minorHAnsi"/>
                <w:sz w:val="18"/>
                <w:szCs w:val="18"/>
              </w:rPr>
              <w:t>Sistema di rilevamento e di sincronizzazione dell'attività respiratoria e ECG con connessione wireless</w:t>
            </w:r>
          </w:p>
        </w:tc>
        <w:tc>
          <w:tcPr>
            <w:tcW w:w="969" w:type="pct"/>
            <w:vAlign w:val="center"/>
          </w:tcPr>
          <w:p w14:paraId="5DA520D4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22E95A95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</w:tr>
      <w:tr w:rsidR="005F63FC" w:rsidRPr="00B54801" w14:paraId="2C76612C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0088A15F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1.9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14A378FB" w14:textId="2D4D2A0C" w:rsidR="005F63FC" w:rsidRPr="00B54801" w:rsidRDefault="005F63FC" w:rsidP="005F63FC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86717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Bobina encefalo dedicata di tipo phased array con numero di canali indipendenti non inferiore a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69" w:type="pct"/>
            <w:vAlign w:val="center"/>
          </w:tcPr>
          <w:p w14:paraId="5E64E2E4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5F612286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</w:tr>
      <w:tr w:rsidR="005F63FC" w:rsidRPr="00B54801" w14:paraId="7EF3A038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547A9D70" w14:textId="77777777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1.10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7EF6C453" w14:textId="7CF00FB6" w:rsidR="005F63FC" w:rsidRPr="00B54801" w:rsidRDefault="005F63FC" w:rsidP="005F63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6A7EC0">
              <w:rPr>
                <w:rFonts w:asciiTheme="minorHAnsi" w:hAnsiTheme="minorHAnsi" w:cstheme="minorHAnsi"/>
                <w:sz w:val="18"/>
                <w:szCs w:val="18"/>
              </w:rPr>
              <w:t>Bobina mammella per biopsia con almeno 7 canali completa di accessori per eseguire biopsia mammaria (</w:t>
            </w:r>
            <w:proofErr w:type="gramStart"/>
            <w:r w:rsidRPr="006A7EC0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proofErr w:type="gramEnd"/>
            <w:r w:rsidRPr="006A7EC0">
              <w:rPr>
                <w:rFonts w:asciiTheme="minorHAnsi" w:hAnsiTheme="minorHAnsi" w:cstheme="minorHAnsi"/>
                <w:sz w:val="18"/>
                <w:szCs w:val="18"/>
              </w:rPr>
              <w:t xml:space="preserve"> consumabili). Con la bobina devono essere fornite: sequenze per lo studio standard senza e con la saturazione del grasso; sequenze per lo studio degli impianti protesici mammari (saturazione di acqua e silicone); sequenze per acquisizioni dinamiche e relativo software di elaborazione immagini per ottenere curve di intensità/ tempo</w:t>
            </w:r>
          </w:p>
        </w:tc>
        <w:tc>
          <w:tcPr>
            <w:tcW w:w="969" w:type="pct"/>
            <w:vAlign w:val="center"/>
          </w:tcPr>
          <w:p w14:paraId="5BD6A0E8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53E7CEC1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</w:tr>
      <w:tr w:rsidR="0007221A" w:rsidRPr="00B54801" w14:paraId="452578CB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12815CC0" w14:textId="7C5861D6" w:rsidR="0007221A" w:rsidRPr="00B54801" w:rsidRDefault="0007221A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1.11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07CFEC46" w14:textId="077AA13D" w:rsidR="0007221A" w:rsidRPr="003064AE" w:rsidRDefault="0007221A" w:rsidP="005F63FC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57EC9"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 xml:space="preserve">Software per analisi real-time di acquisizioni </w:t>
            </w:r>
            <w:proofErr w:type="spellStart"/>
            <w:r w:rsidRPr="00A57EC9"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fMRI</w:t>
            </w:r>
            <w:proofErr w:type="spellEnd"/>
            <w:r w:rsidRPr="00A57EC9"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 xml:space="preserve"> con </w:t>
            </w:r>
            <w:proofErr w:type="spellStart"/>
            <w:r w:rsidRPr="00A57EC9"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block</w:t>
            </w:r>
            <w:proofErr w:type="spellEnd"/>
            <w:r w:rsidRPr="00A57EC9"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 xml:space="preserve"> design</w:t>
            </w:r>
          </w:p>
        </w:tc>
        <w:tc>
          <w:tcPr>
            <w:tcW w:w="969" w:type="pct"/>
            <w:vAlign w:val="center"/>
          </w:tcPr>
          <w:p w14:paraId="4EA7E796" w14:textId="77777777" w:rsidR="0007221A" w:rsidRPr="00B54801" w:rsidRDefault="0007221A" w:rsidP="005F63F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1A6C3B23" w14:textId="77777777" w:rsidR="0007221A" w:rsidRPr="00B54801" w:rsidRDefault="0007221A" w:rsidP="005F63FC">
            <w:pPr>
              <w:rPr>
                <w:rFonts w:ascii="Calibri" w:hAnsi="Calibri"/>
                <w:szCs w:val="20"/>
              </w:rPr>
            </w:pPr>
          </w:p>
        </w:tc>
      </w:tr>
      <w:tr w:rsidR="005F63FC" w:rsidRPr="00B54801" w14:paraId="6153BBC3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635689F0" w14:textId="69C43AEB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</w:t>
            </w:r>
            <w:r w:rsidR="0007221A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2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09F6B74C" w14:textId="78CB7EEA" w:rsidR="005F63FC" w:rsidRPr="00B54801" w:rsidRDefault="005F63FC" w:rsidP="005F63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3064A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Dispositivo opzionale: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Bobina </w:t>
            </w:r>
            <w:r w:rsidRPr="007A61C0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dedicata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alla copertura degli arti inferiori con almeno 16 canali per studi total body</w:t>
            </w:r>
          </w:p>
        </w:tc>
        <w:tc>
          <w:tcPr>
            <w:tcW w:w="969" w:type="pct"/>
            <w:vAlign w:val="center"/>
          </w:tcPr>
          <w:p w14:paraId="58E2A2CB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098C2AD4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</w:tr>
      <w:tr w:rsidR="0007221A" w:rsidRPr="00B54801" w14:paraId="3D637B5B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6A793EE5" w14:textId="43AEC374" w:rsidR="0007221A" w:rsidRPr="00B54801" w:rsidRDefault="0007221A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1.13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486EC6AF" w14:textId="59D46620" w:rsidR="0007221A" w:rsidRDefault="0007221A" w:rsidP="005F63FC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57EC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highlight w:val="yellow"/>
              </w:rPr>
              <w:t>Dispositivo opzionale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highlight w:val="yellow"/>
              </w:rPr>
              <w:t xml:space="preserve"> Software Cardio</w:t>
            </w:r>
            <w:r w:rsidRPr="00A57EC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highlight w:val="yellow"/>
              </w:rPr>
              <w:t xml:space="preserve">: </w:t>
            </w:r>
            <w:r w:rsidRPr="00A57EC9"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  <w:t>Sequenze dedicate allo studio quantitativo mapping T1 del cuore con sincronizzazione ECG e relativo post-processing di elaborazione delle immagini</w:t>
            </w:r>
          </w:p>
        </w:tc>
        <w:tc>
          <w:tcPr>
            <w:tcW w:w="969" w:type="pct"/>
            <w:vAlign w:val="center"/>
          </w:tcPr>
          <w:p w14:paraId="5CC90C34" w14:textId="77777777" w:rsidR="0007221A" w:rsidRPr="00B54801" w:rsidRDefault="0007221A" w:rsidP="005F63FC">
            <w:pPr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27E5FE8F" w14:textId="77777777" w:rsidR="0007221A" w:rsidRPr="00B54801" w:rsidRDefault="0007221A" w:rsidP="005F63FC">
            <w:pPr>
              <w:rPr>
                <w:rFonts w:ascii="Calibri" w:hAnsi="Calibri"/>
                <w:b/>
                <w:szCs w:val="20"/>
              </w:rPr>
            </w:pPr>
          </w:p>
        </w:tc>
      </w:tr>
      <w:tr w:rsidR="005F63FC" w:rsidRPr="00B54801" w14:paraId="03457503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6457233F" w14:textId="1874607D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</w:t>
            </w:r>
            <w:r w:rsidR="0007221A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4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7DF007F1" w14:textId="4C5EB690" w:rsidR="005F63FC" w:rsidRPr="00B54801" w:rsidRDefault="005F63FC" w:rsidP="005F63FC">
            <w:pPr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Relazione tecnica: </w:t>
            </w:r>
            <w:r w:rsidRPr="005F63FC">
              <w:rPr>
                <w:rFonts w:ascii="Calibri" w:hAnsi="Calibri" w:cs="Calibri"/>
                <w:color w:val="000000"/>
                <w:sz w:val="18"/>
                <w:szCs w:val="18"/>
              </w:rPr>
              <w:t>Catena di digitalizzazione</w:t>
            </w:r>
          </w:p>
        </w:tc>
        <w:tc>
          <w:tcPr>
            <w:tcW w:w="969" w:type="pct"/>
            <w:vAlign w:val="center"/>
          </w:tcPr>
          <w:p w14:paraId="7C6DA381" w14:textId="3EF1AE97" w:rsidR="005F63FC" w:rsidRPr="00B54801" w:rsidRDefault="005F63FC" w:rsidP="005F63FC">
            <w:pPr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15268EEA" w14:textId="01DE0EFD" w:rsidR="005F63FC" w:rsidRPr="00B54801" w:rsidRDefault="005F63FC" w:rsidP="005F63FC">
            <w:pPr>
              <w:rPr>
                <w:rFonts w:ascii="Calibri" w:hAnsi="Calibri"/>
                <w:b/>
                <w:szCs w:val="20"/>
              </w:rPr>
            </w:pPr>
          </w:p>
        </w:tc>
      </w:tr>
      <w:tr w:rsidR="005F63FC" w:rsidRPr="00B54801" w14:paraId="2B254B1E" w14:textId="77777777" w:rsidTr="00D55A1B">
        <w:trPr>
          <w:cantSplit/>
          <w:trHeight w:val="567"/>
          <w:jc w:val="center"/>
        </w:trPr>
        <w:tc>
          <w:tcPr>
            <w:tcW w:w="257" w:type="pct"/>
            <w:vAlign w:val="center"/>
          </w:tcPr>
          <w:p w14:paraId="1AA6AAF1" w14:textId="600D368A" w:rsidR="005F63FC" w:rsidRPr="00B54801" w:rsidRDefault="005F63FC" w:rsidP="005F63F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</w:t>
            </w:r>
            <w:r w:rsidR="0007221A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5</w:t>
            </w:r>
          </w:p>
        </w:tc>
        <w:tc>
          <w:tcPr>
            <w:tcW w:w="2904" w:type="pct"/>
            <w:shd w:val="clear" w:color="auto" w:fill="auto"/>
            <w:vAlign w:val="center"/>
          </w:tcPr>
          <w:p w14:paraId="06F89189" w14:textId="427DA4FE" w:rsidR="005F63FC" w:rsidRPr="00B54801" w:rsidRDefault="005F63FC" w:rsidP="005F63FC">
            <w:pPr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Relazione tecnica: </w:t>
            </w:r>
            <w:r w:rsidRPr="005F63FC">
              <w:rPr>
                <w:rFonts w:ascii="Calibri" w:hAnsi="Calibri" w:cs="Calibri"/>
                <w:color w:val="000000"/>
                <w:sz w:val="18"/>
                <w:szCs w:val="18"/>
              </w:rPr>
              <w:t>Sostenibilità</w:t>
            </w:r>
          </w:p>
        </w:tc>
        <w:tc>
          <w:tcPr>
            <w:tcW w:w="969" w:type="pct"/>
            <w:vAlign w:val="center"/>
          </w:tcPr>
          <w:p w14:paraId="08F3DECF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70" w:type="pct"/>
            <w:vAlign w:val="center"/>
          </w:tcPr>
          <w:p w14:paraId="0EB75ADB" w14:textId="77777777" w:rsidR="005F63FC" w:rsidRPr="00B54801" w:rsidRDefault="005F63FC" w:rsidP="005F63FC">
            <w:pPr>
              <w:rPr>
                <w:rFonts w:ascii="Calibri" w:hAnsi="Calibri"/>
                <w:szCs w:val="20"/>
              </w:rPr>
            </w:pPr>
          </w:p>
        </w:tc>
      </w:tr>
    </w:tbl>
    <w:p w14:paraId="5769E4CE" w14:textId="77777777" w:rsidR="00F02292" w:rsidRDefault="00F02292" w:rsidP="0036768D">
      <w:pPr>
        <w:rPr>
          <w:rFonts w:ascii="Calibri" w:hAnsi="Calibri"/>
        </w:rPr>
      </w:pPr>
    </w:p>
    <w:p w14:paraId="147B8AA8" w14:textId="77777777" w:rsidR="002B7FB5" w:rsidRPr="00A56E34" w:rsidRDefault="002B7FB5" w:rsidP="002B7FB5">
      <w:pPr>
        <w:rPr>
          <w:rFonts w:ascii="Calibri" w:hAnsi="Calibri"/>
        </w:rPr>
      </w:pPr>
    </w:p>
    <w:p w14:paraId="6282FE02" w14:textId="77777777" w:rsidR="002B7FB5" w:rsidRDefault="002B7FB5" w:rsidP="002B7FB5">
      <w:pPr>
        <w:rPr>
          <w:rStyle w:val="Grassettocorsivo"/>
          <w:rFonts w:ascii="Calibri" w:hAnsi="Calibri"/>
          <w:i w:val="0"/>
        </w:rPr>
      </w:pPr>
      <w:r w:rsidRPr="00DC30B5">
        <w:rPr>
          <w:rStyle w:val="Grassettocorsivo"/>
          <w:rFonts w:ascii="Calibri" w:hAnsi="Calibri"/>
          <w:i w:val="0"/>
        </w:rPr>
        <w:t>Le caratteristiche contrassegnate con “N/A” non saranno sottoposte né a comprova documentale né a verifica tecnica.</w:t>
      </w:r>
    </w:p>
    <w:p w14:paraId="56578EA8" w14:textId="77777777" w:rsidR="002B7FB5" w:rsidRDefault="002B7FB5" w:rsidP="002B7FB5">
      <w:pPr>
        <w:rPr>
          <w:rStyle w:val="Grassettocorsivo"/>
          <w:rFonts w:ascii="Calibri" w:hAnsi="Calibri"/>
          <w:i w:val="0"/>
        </w:rPr>
      </w:pPr>
    </w:p>
    <w:p w14:paraId="04E1110C" w14:textId="5DE69D15" w:rsidR="00493296" w:rsidRDefault="00493296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Calibri" w:hAnsi="Calibri" w:cs="Arial"/>
          <w:b w:val="0"/>
          <w:bCs/>
          <w:i w:val="0"/>
          <w:caps/>
          <w:kern w:val="28"/>
          <w:szCs w:val="20"/>
        </w:rPr>
      </w:pPr>
    </w:p>
    <w:sectPr w:rsidR="00493296" w:rsidSect="00C65A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1843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FC5F9" w14:textId="77777777" w:rsidR="008E1999" w:rsidRDefault="008E1999" w:rsidP="00816101">
      <w:r>
        <w:separator/>
      </w:r>
    </w:p>
  </w:endnote>
  <w:endnote w:type="continuationSeparator" w:id="0">
    <w:p w14:paraId="0680901C" w14:textId="77777777" w:rsidR="008E1999" w:rsidRDefault="008E1999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6275" w14:textId="77777777" w:rsidR="00711F45" w:rsidRDefault="00711F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2D4C2" w14:textId="77777777" w:rsidR="00711F45" w:rsidRPr="00711F45" w:rsidRDefault="00711F45" w:rsidP="00711F45">
    <w:pPr>
      <w:pStyle w:val="Pidipagina"/>
      <w:spacing w:line="276" w:lineRule="auto"/>
      <w:ind w:left="360" w:right="473"/>
      <w:rPr>
        <w:b/>
        <w:noProof/>
        <w:sz w:val="16"/>
        <w:szCs w:val="16"/>
      </w:rPr>
    </w:pPr>
    <w:r w:rsidRPr="00711F45">
      <w:rPr>
        <w:noProof/>
        <w:sz w:val="16"/>
        <w:szCs w:val="16"/>
      </w:rPr>
      <w:t>Moduli di dichiarazione - Gara a procedura aperta ai sensi del D.Lgs. 36/2023 per la fornitura di Tomografi a risonanza magnetica (RM) 3 Tesla, servizi connessi, dispositivi e servizi opzionali per le Pubbliche Amministrazioni – ID2785</w:t>
    </w:r>
    <w:r w:rsidRPr="00711F45">
      <w:rPr>
        <w:i/>
        <w:noProof/>
        <w:sz w:val="16"/>
        <w:szCs w:val="16"/>
      </w:rPr>
      <w:t xml:space="preserve">                  </w:t>
    </w:r>
  </w:p>
  <w:p w14:paraId="21267638" w14:textId="73E8F102" w:rsidR="00A8719D" w:rsidRPr="00806110" w:rsidRDefault="00A8719D" w:rsidP="00493296">
    <w:pPr>
      <w:pStyle w:val="Pidipagina"/>
      <w:spacing w:line="276" w:lineRule="auto"/>
      <w:ind w:right="473"/>
      <w:rPr>
        <w:sz w:val="16"/>
        <w:szCs w:val="16"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A9CA" w14:textId="528F4810" w:rsidR="00A8719D" w:rsidRPr="000E241A" w:rsidRDefault="00A8719D" w:rsidP="002811EF">
    <w:pPr>
      <w:pStyle w:val="Pidipagina"/>
      <w:pBdr>
        <w:top w:val="none" w:sz="0" w:space="0" w:color="auto"/>
      </w:pBdr>
      <w:rPr>
        <w:sz w:val="16"/>
        <w:szCs w:val="16"/>
        <w:lang w:val="it-IT"/>
      </w:rPr>
    </w:pPr>
    <w:r w:rsidRPr="000E241A">
      <w:rPr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307E06" wp14:editId="0E5FA3FE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17CB3" w14:textId="77777777" w:rsidR="00A8719D" w:rsidRDefault="00A8719D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C5EB8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C5EB8">
                            <w:rPr>
                              <w:rStyle w:val="Numeropagina"/>
                              <w:noProof/>
                            </w:rPr>
                            <w:t>13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307E0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421.45pt;margin-top:6.9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" stroked="f">
              <v:textbox>
                <w:txbxContent>
                  <w:p w14:paraId="06617CB3" w14:textId="77777777" w:rsidR="00A8719D" w:rsidRDefault="00A8719D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C5EB8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C5EB8">
                      <w:rPr>
                        <w:rStyle w:val="Numeropagina"/>
                        <w:noProof/>
                      </w:rPr>
                      <w:t>13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A15B1D0" w14:textId="77777777" w:rsidR="00711F45" w:rsidRPr="00711F45" w:rsidRDefault="00711F45" w:rsidP="00711F45">
    <w:pPr>
      <w:pStyle w:val="Pidipagina"/>
      <w:spacing w:line="276" w:lineRule="auto"/>
      <w:ind w:left="360" w:right="473"/>
      <w:rPr>
        <w:b/>
        <w:sz w:val="16"/>
        <w:szCs w:val="16"/>
        <w:lang w:val="it-IT"/>
      </w:rPr>
    </w:pPr>
    <w:r w:rsidRPr="00711F45">
      <w:rPr>
        <w:sz w:val="16"/>
        <w:szCs w:val="16"/>
        <w:lang w:val="it-IT"/>
      </w:rPr>
      <w:t xml:space="preserve">Moduli di dichiarazione - Gara a procedura aperta ai sensi del </w:t>
    </w:r>
    <w:proofErr w:type="spellStart"/>
    <w:r w:rsidRPr="00711F45">
      <w:rPr>
        <w:sz w:val="16"/>
        <w:szCs w:val="16"/>
        <w:lang w:val="it-IT"/>
      </w:rPr>
      <w:t>D.Lgs.</w:t>
    </w:r>
    <w:proofErr w:type="spellEnd"/>
    <w:r w:rsidRPr="00711F45">
      <w:rPr>
        <w:sz w:val="16"/>
        <w:szCs w:val="16"/>
        <w:lang w:val="it-IT"/>
      </w:rPr>
      <w:t xml:space="preserve"> 36/2023 per la fornitura di Tomografi a risonanza magnetica (RM) 3 Tesla, servizi connessi, dispositivi e servizi opzionali per le Pubbliche Amministrazioni – ID2785</w:t>
    </w:r>
    <w:r w:rsidRPr="00711F45">
      <w:rPr>
        <w:i/>
        <w:sz w:val="16"/>
        <w:szCs w:val="16"/>
        <w:lang w:val="it-IT"/>
      </w:rPr>
      <w:t xml:space="preserve">                  </w:t>
    </w:r>
  </w:p>
  <w:p w14:paraId="02F8A564" w14:textId="23B842C0" w:rsidR="00A8719D" w:rsidRPr="000E241A" w:rsidRDefault="00A8719D" w:rsidP="00024C56">
    <w:pPr>
      <w:pStyle w:val="Pidipagina"/>
      <w:spacing w:line="276" w:lineRule="auto"/>
      <w:ind w:right="473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A2283" w14:textId="77777777" w:rsidR="008E1999" w:rsidRDefault="008E1999" w:rsidP="00816101">
      <w:r>
        <w:separator/>
      </w:r>
    </w:p>
  </w:footnote>
  <w:footnote w:type="continuationSeparator" w:id="0">
    <w:p w14:paraId="277BE375" w14:textId="77777777" w:rsidR="008E1999" w:rsidRDefault="008E1999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72753" w14:textId="77777777" w:rsidR="00711F45" w:rsidRDefault="00711F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93807" w14:textId="212294EE" w:rsidR="00A8719D" w:rsidRDefault="00A8719D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B0173" w14:textId="201B7B2A" w:rsidR="00A8719D" w:rsidRDefault="00A8719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0A65936"/>
    <w:multiLevelType w:val="hybridMultilevel"/>
    <w:tmpl w:val="D67C1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BB3287C"/>
    <w:multiLevelType w:val="hybridMultilevel"/>
    <w:tmpl w:val="DB469662"/>
    <w:lvl w:ilvl="0" w:tplc="A68E0558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5" w15:restartNumberingAfterBreak="0">
    <w:nsid w:val="320A5702"/>
    <w:multiLevelType w:val="hybridMultilevel"/>
    <w:tmpl w:val="518E1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C1DFB"/>
    <w:multiLevelType w:val="hybridMultilevel"/>
    <w:tmpl w:val="29200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E3A2B"/>
    <w:multiLevelType w:val="hybridMultilevel"/>
    <w:tmpl w:val="9918D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F1290A"/>
    <w:multiLevelType w:val="hybridMultilevel"/>
    <w:tmpl w:val="21FE6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44D02"/>
    <w:multiLevelType w:val="hybridMultilevel"/>
    <w:tmpl w:val="10EA4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96B75"/>
    <w:multiLevelType w:val="hybridMultilevel"/>
    <w:tmpl w:val="0FB29C98"/>
    <w:lvl w:ilvl="0" w:tplc="B3CE748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76EF02F9"/>
    <w:multiLevelType w:val="hybridMultilevel"/>
    <w:tmpl w:val="9006DA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48835661">
    <w:abstractNumId w:val="8"/>
  </w:num>
  <w:num w:numId="2" w16cid:durableId="778992178">
    <w:abstractNumId w:val="10"/>
  </w:num>
  <w:num w:numId="3" w16cid:durableId="929973809">
    <w:abstractNumId w:val="9"/>
  </w:num>
  <w:num w:numId="4" w16cid:durableId="563223731">
    <w:abstractNumId w:val="2"/>
  </w:num>
  <w:num w:numId="5" w16cid:durableId="2082949774">
    <w:abstractNumId w:val="5"/>
  </w:num>
  <w:num w:numId="6" w16cid:durableId="1887796988">
    <w:abstractNumId w:val="4"/>
  </w:num>
  <w:num w:numId="7" w16cid:durableId="1780760467">
    <w:abstractNumId w:val="20"/>
  </w:num>
  <w:num w:numId="8" w16cid:durableId="296299194">
    <w:abstractNumId w:val="25"/>
  </w:num>
  <w:num w:numId="9" w16cid:durableId="114562907">
    <w:abstractNumId w:val="1"/>
  </w:num>
  <w:num w:numId="10" w16cid:durableId="1084104811">
    <w:abstractNumId w:val="0"/>
  </w:num>
  <w:num w:numId="11" w16cid:durableId="936138756">
    <w:abstractNumId w:val="6"/>
  </w:num>
  <w:num w:numId="12" w16cid:durableId="175047793">
    <w:abstractNumId w:val="3"/>
  </w:num>
  <w:num w:numId="13" w16cid:durableId="1239560808">
    <w:abstractNumId w:val="24"/>
  </w:num>
  <w:num w:numId="14" w16cid:durableId="198594492">
    <w:abstractNumId w:val="7"/>
  </w:num>
  <w:num w:numId="15" w16cid:durableId="354041641">
    <w:abstractNumId w:val="23"/>
  </w:num>
  <w:num w:numId="16" w16cid:durableId="569193986">
    <w:abstractNumId w:val="10"/>
  </w:num>
  <w:num w:numId="17" w16cid:durableId="1642342736">
    <w:abstractNumId w:val="27"/>
  </w:num>
  <w:num w:numId="18" w16cid:durableId="881209801">
    <w:abstractNumId w:val="13"/>
  </w:num>
  <w:num w:numId="19" w16cid:durableId="1162234020">
    <w:abstractNumId w:val="12"/>
  </w:num>
  <w:num w:numId="20" w16cid:durableId="2057124857">
    <w:abstractNumId w:val="21"/>
  </w:num>
  <w:num w:numId="21" w16cid:durableId="79185261">
    <w:abstractNumId w:val="22"/>
  </w:num>
  <w:num w:numId="22" w16cid:durableId="189148999">
    <w:abstractNumId w:val="16"/>
  </w:num>
  <w:num w:numId="23" w16cid:durableId="1265572156">
    <w:abstractNumId w:val="17"/>
  </w:num>
  <w:num w:numId="24" w16cid:durableId="1481388191">
    <w:abstractNumId w:val="26"/>
  </w:num>
  <w:num w:numId="25" w16cid:durableId="169754498">
    <w:abstractNumId w:val="15"/>
  </w:num>
  <w:num w:numId="26" w16cid:durableId="1680888461">
    <w:abstractNumId w:val="19"/>
  </w:num>
  <w:num w:numId="27" w16cid:durableId="1079249085">
    <w:abstractNumId w:val="14"/>
  </w:num>
  <w:num w:numId="28" w16cid:durableId="1327589521">
    <w:abstractNumId w:val="18"/>
  </w:num>
  <w:num w:numId="29" w16cid:durableId="172499540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291D"/>
    <w:rsid w:val="00003A4C"/>
    <w:rsid w:val="00003F7D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4C56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1348"/>
    <w:rsid w:val="0005327E"/>
    <w:rsid w:val="000538D4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21A"/>
    <w:rsid w:val="00072888"/>
    <w:rsid w:val="000747B3"/>
    <w:rsid w:val="000817CF"/>
    <w:rsid w:val="0008478F"/>
    <w:rsid w:val="0008504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3C25"/>
    <w:rsid w:val="000D5EF5"/>
    <w:rsid w:val="000E0873"/>
    <w:rsid w:val="000E0A3A"/>
    <w:rsid w:val="000E1A75"/>
    <w:rsid w:val="000E241A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A40"/>
    <w:rsid w:val="00165F5D"/>
    <w:rsid w:val="0016603B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319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2C56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162"/>
    <w:rsid w:val="002B5788"/>
    <w:rsid w:val="002B78BB"/>
    <w:rsid w:val="002B79AA"/>
    <w:rsid w:val="002B79BB"/>
    <w:rsid w:val="002B7FB5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3DF9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4715"/>
    <w:rsid w:val="00366EDF"/>
    <w:rsid w:val="0036768D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D2A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3296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E5BF6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071"/>
    <w:rsid w:val="005339D1"/>
    <w:rsid w:val="00533C3C"/>
    <w:rsid w:val="00533DD6"/>
    <w:rsid w:val="005374E4"/>
    <w:rsid w:val="0054010C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207B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11DD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78A0"/>
    <w:rsid w:val="005F2EF9"/>
    <w:rsid w:val="005F3E83"/>
    <w:rsid w:val="005F5A0D"/>
    <w:rsid w:val="005F63FC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4D0"/>
    <w:rsid w:val="00647890"/>
    <w:rsid w:val="006534D4"/>
    <w:rsid w:val="0065369F"/>
    <w:rsid w:val="00654409"/>
    <w:rsid w:val="006545DC"/>
    <w:rsid w:val="00655550"/>
    <w:rsid w:val="00655BFE"/>
    <w:rsid w:val="006578FE"/>
    <w:rsid w:val="006609E5"/>
    <w:rsid w:val="0066266E"/>
    <w:rsid w:val="006627DB"/>
    <w:rsid w:val="00662CCC"/>
    <w:rsid w:val="00663AA6"/>
    <w:rsid w:val="0066429A"/>
    <w:rsid w:val="00666323"/>
    <w:rsid w:val="006676BA"/>
    <w:rsid w:val="006712DF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607B"/>
    <w:rsid w:val="007061B6"/>
    <w:rsid w:val="00711F45"/>
    <w:rsid w:val="00712BA2"/>
    <w:rsid w:val="00714451"/>
    <w:rsid w:val="00717ACF"/>
    <w:rsid w:val="00720F9E"/>
    <w:rsid w:val="00721B85"/>
    <w:rsid w:val="00721BF9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96ADF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3A39"/>
    <w:rsid w:val="007E6E2B"/>
    <w:rsid w:val="007F1C75"/>
    <w:rsid w:val="007F2245"/>
    <w:rsid w:val="007F28E4"/>
    <w:rsid w:val="007F2E87"/>
    <w:rsid w:val="007F322B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110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1FF5"/>
    <w:rsid w:val="0083227F"/>
    <w:rsid w:val="008323F7"/>
    <w:rsid w:val="008327F5"/>
    <w:rsid w:val="00835377"/>
    <w:rsid w:val="008354D3"/>
    <w:rsid w:val="00836BC4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0DD2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2F5C"/>
    <w:rsid w:val="008C3062"/>
    <w:rsid w:val="008C34BA"/>
    <w:rsid w:val="008C5EB8"/>
    <w:rsid w:val="008C75CF"/>
    <w:rsid w:val="008C7AA1"/>
    <w:rsid w:val="008D000C"/>
    <w:rsid w:val="008D13DB"/>
    <w:rsid w:val="008D30EC"/>
    <w:rsid w:val="008E068B"/>
    <w:rsid w:val="008E1999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1C4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176B"/>
    <w:rsid w:val="009C26DD"/>
    <w:rsid w:val="009C6B2D"/>
    <w:rsid w:val="009D1092"/>
    <w:rsid w:val="009D124E"/>
    <w:rsid w:val="009D282F"/>
    <w:rsid w:val="009D3160"/>
    <w:rsid w:val="009D39EB"/>
    <w:rsid w:val="009D5F29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5FA7"/>
    <w:rsid w:val="00A76B6B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33B4"/>
    <w:rsid w:val="00AE3762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42C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47859"/>
    <w:rsid w:val="00B516ED"/>
    <w:rsid w:val="00B52E15"/>
    <w:rsid w:val="00B53BA6"/>
    <w:rsid w:val="00B54801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93624"/>
    <w:rsid w:val="00BA3A75"/>
    <w:rsid w:val="00BA484F"/>
    <w:rsid w:val="00BA50F8"/>
    <w:rsid w:val="00BA5262"/>
    <w:rsid w:val="00BA5FC1"/>
    <w:rsid w:val="00BB015B"/>
    <w:rsid w:val="00BB1914"/>
    <w:rsid w:val="00BB1A9D"/>
    <w:rsid w:val="00BB1E16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5AC5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1FFF"/>
    <w:rsid w:val="00CB2D3F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5647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0085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5856"/>
    <w:rsid w:val="00D5587D"/>
    <w:rsid w:val="00D55A10"/>
    <w:rsid w:val="00D55A1B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38F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0FB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32DD"/>
    <w:rsid w:val="00E33CF0"/>
    <w:rsid w:val="00E33D80"/>
    <w:rsid w:val="00E35EE0"/>
    <w:rsid w:val="00E36A09"/>
    <w:rsid w:val="00E37468"/>
    <w:rsid w:val="00E37ABC"/>
    <w:rsid w:val="00E4182C"/>
    <w:rsid w:val="00E430AA"/>
    <w:rsid w:val="00E43E46"/>
    <w:rsid w:val="00E47BDF"/>
    <w:rsid w:val="00E51D5F"/>
    <w:rsid w:val="00E52760"/>
    <w:rsid w:val="00E555DA"/>
    <w:rsid w:val="00E562AA"/>
    <w:rsid w:val="00E56D12"/>
    <w:rsid w:val="00E60A24"/>
    <w:rsid w:val="00E615AD"/>
    <w:rsid w:val="00E62685"/>
    <w:rsid w:val="00E63F16"/>
    <w:rsid w:val="00E6633F"/>
    <w:rsid w:val="00E674B5"/>
    <w:rsid w:val="00E674C0"/>
    <w:rsid w:val="00E67A4C"/>
    <w:rsid w:val="00E7260E"/>
    <w:rsid w:val="00E75F68"/>
    <w:rsid w:val="00E77C00"/>
    <w:rsid w:val="00E80BF9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3919"/>
    <w:rsid w:val="00EA4496"/>
    <w:rsid w:val="00EA5582"/>
    <w:rsid w:val="00EA6B1B"/>
    <w:rsid w:val="00EA72DE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4EBC"/>
    <w:rsid w:val="00EF6896"/>
    <w:rsid w:val="00EF77EA"/>
    <w:rsid w:val="00EF7F71"/>
    <w:rsid w:val="00F00F8E"/>
    <w:rsid w:val="00F02292"/>
    <w:rsid w:val="00F02A15"/>
    <w:rsid w:val="00F03156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29F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12E2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2D1"/>
    <w:rsid w:val="00F813B8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F2910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4A837"/>
  <w15:chartTrackingRefBased/>
  <w15:docId w15:val="{5F49C3FB-FFA3-466F-A6CA-6A3E40BB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6474D0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basedOn w:val="Normal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styleId="Revisione">
    <w:name w:val="Revision"/>
    <w:hidden/>
    <w:uiPriority w:val="99"/>
    <w:semiHidden/>
    <w:rsid w:val="006474D0"/>
    <w:rPr>
      <w:rFonts w:ascii="Trebuchet MS" w:hAnsi="Trebuchet MS"/>
      <w:kern w:val="2"/>
      <w:szCs w:val="24"/>
    </w:rPr>
  </w:style>
  <w:style w:type="paragraph" w:customStyle="1" w:styleId="xxmsonormal">
    <w:name w:val="x_xmsonormal"/>
    <w:basedOn w:val="Normale"/>
    <w:rsid w:val="002B5162"/>
    <w:pPr>
      <w:widowControl/>
      <w:autoSpaceDE/>
      <w:autoSpaceDN/>
      <w:adjustRightInd/>
      <w:spacing w:line="240" w:lineRule="auto"/>
      <w:jc w:val="left"/>
    </w:pPr>
    <w:rPr>
      <w:rFonts w:ascii="Calibri" w:eastAsiaTheme="minorHAnsi" w:hAnsi="Calibri" w:cs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83F47-B72E-421F-BFF4-0F01F985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1116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2022-06-01T15:40:00Z</dcterms:created>
  <dcterms:modified xsi:type="dcterms:W3CDTF">2024-10-25T14:31:00Z</dcterms:modified>
</cp:coreProperties>
</file>