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FD17CF" w:rsidRDefault="00FD17CF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FD17CF">
        <w:rPr>
          <w:rFonts w:ascii="Calibri" w:hAnsi="Calibri"/>
          <w:sz w:val="20"/>
          <w:szCs w:val="20"/>
        </w:rPr>
        <w:t>ALLEGATO 13</w:t>
      </w:r>
      <w:r w:rsidR="007F0195" w:rsidRPr="00FD17CF">
        <w:rPr>
          <w:rFonts w:ascii="Calibri" w:hAnsi="Calibri"/>
          <w:sz w:val="20"/>
          <w:szCs w:val="20"/>
        </w:rPr>
        <w:t xml:space="preserve"> </w:t>
      </w:r>
    </w:p>
    <w:p w:rsidR="007F0195" w:rsidRPr="00FD17CF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FD17CF">
        <w:rPr>
          <w:rFonts w:ascii="Calibri" w:hAnsi="Calibri"/>
          <w:sz w:val="20"/>
          <w:szCs w:val="20"/>
        </w:rPr>
        <w:t>FACSIMILE dichiarazione</w:t>
      </w:r>
      <w:r w:rsidR="00A64B59" w:rsidRPr="00FD17CF">
        <w:rPr>
          <w:rFonts w:ascii="Calibri" w:hAnsi="Calibri"/>
          <w:sz w:val="20"/>
          <w:szCs w:val="20"/>
        </w:rPr>
        <w:t xml:space="preserve"> </w:t>
      </w:r>
      <w:r w:rsidR="00D02B2A" w:rsidRPr="00FD17CF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FD17CF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 w:rsidRPr="00CA25D5">
        <w:rPr>
          <w:rStyle w:val="BLOCKBOLD"/>
          <w:rFonts w:ascii="Calibri" w:hAnsi="Calibri"/>
          <w:u w:val="single"/>
        </w:rPr>
        <w:t xml:space="preserve">dichiarazione </w:t>
      </w:r>
      <w:r w:rsidR="00D02B2A" w:rsidRPr="00CA25D5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CA25D5" w:rsidRPr="00D63C6C">
        <w:rPr>
          <w:rStyle w:val="BLOCKBOLD"/>
          <w:rFonts w:ascii="Calibri" w:hAnsi="Calibri"/>
        </w:rPr>
        <w:t>L’AFFIDAMENTO DELLA</w:t>
      </w:r>
      <w:r w:rsidR="00CA25D5" w:rsidRPr="00CA25D5">
        <w:rPr>
          <w:rStyle w:val="BLOCKBOLD"/>
          <w:rFonts w:ascii="Calibri" w:hAnsi="Calibri"/>
        </w:rPr>
        <w:t xml:space="preserve"> fornitura di licenze d’uso Microsoft Enterprise Agreement e dei servizi connessi per le Pubbliche Amministrazioni (ottava edizione)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917B9D">
        <w:rPr>
          <w:rFonts w:ascii="Calibri" w:hAnsi="Calibri"/>
          <w:color w:val="000000"/>
        </w:rPr>
        <w:t xml:space="preserve">Disciplinare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  <w:bookmarkStart w:id="0" w:name="_GoBack"/>
      <w:bookmarkEnd w:id="0"/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proofErr w:type="gramStart"/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917B9D">
        <w:rPr>
          <w:rFonts w:ascii="Calibri" w:hAnsi="Calibri"/>
          <w:color w:val="000000"/>
          <w:szCs w:val="20"/>
        </w:rPr>
        <w:t xml:space="preserve"> Disciplinare</w:t>
      </w:r>
      <w:proofErr w:type="gramEnd"/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341762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341762">
        <w:rPr>
          <w:rFonts w:ascii="Calibri" w:hAnsi="Calibri"/>
          <w:szCs w:val="20"/>
        </w:rPr>
        <w:lastRenderedPageBreak/>
        <w:t xml:space="preserve">la </w:t>
      </w:r>
      <w:r w:rsidRPr="00341762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341762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341762">
        <w:rPr>
          <w:rStyle w:val="Rimandonotaapidipagina"/>
          <w:rFonts w:ascii="Calibri" w:hAnsi="Calibri"/>
          <w:szCs w:val="20"/>
        </w:rPr>
        <w:footnoteReference w:id="1"/>
      </w:r>
      <w:r w:rsidRPr="00341762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41762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</w:p>
    <w:p w:rsidR="007F0195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 w:rsidR="00917B9D"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917B9D" w:rsidRPr="00BA5766" w:rsidRDefault="00917B9D" w:rsidP="00917B9D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F179B0">
        <w:rPr>
          <w:rFonts w:ascii="Calibri" w:hAnsi="Calibri" w:cs="Calibri"/>
          <w:i/>
        </w:rPr>
        <w:lastRenderedPageBreak/>
        <w:t>3. (se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917B9D" w:rsidRPr="00F179B0" w:rsidRDefault="00917B9D" w:rsidP="00917B9D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contratto, qualora risulti aggiudicatario, in sede di stipula del 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&gt; </w:t>
      </w:r>
    </w:p>
    <w:p w:rsidR="00917B9D" w:rsidRPr="00BA5766" w:rsidRDefault="00917B9D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EA1" w:rsidRDefault="00662EA1" w:rsidP="007F0195">
      <w:pPr>
        <w:spacing w:line="240" w:lineRule="auto"/>
      </w:pPr>
      <w:r>
        <w:separator/>
      </w:r>
    </w:p>
  </w:endnote>
  <w:endnote w:type="continuationSeparator" w:id="0">
    <w:p w:rsidR="00662EA1" w:rsidRDefault="00662EA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FD5" w:rsidRDefault="00091FD5">
    <w:pPr>
      <w:pStyle w:val="CLASSIFICAZIONEFOOTER6"/>
    </w:pP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AF2095" w:rsidRPr="00060C00" w:rsidRDefault="00AD0ED7" w:rsidP="003E3E61">
    <w:pPr>
      <w:pStyle w:val="Pidipagina"/>
      <w:jc w:val="left"/>
      <w:rPr>
        <w:b/>
      </w:rPr>
    </w:pPr>
    <w:r w:rsidRPr="00060C00">
      <w:t xml:space="preserve">Gara a procedura aperta ai sensi del </w:t>
    </w:r>
    <w:proofErr w:type="spellStart"/>
    <w:proofErr w:type="gramStart"/>
    <w:r w:rsidRPr="00060C00">
      <w:t>D.Lgs</w:t>
    </w:r>
    <w:proofErr w:type="gramEnd"/>
    <w:r w:rsidRPr="00060C00">
      <w:t>.</w:t>
    </w:r>
    <w:proofErr w:type="spellEnd"/>
    <w:r w:rsidRPr="00060C00">
      <w:t xml:space="preserve"> 50/2016 e s.m.i., per </w:t>
    </w:r>
    <w:r w:rsidR="00060C00" w:rsidRPr="00060C00">
      <w:t>l’affidamento della fornitura di licenze d’uso Microsoft Enterprise Agreement e dei servizi connessi per le Pubbliche Am</w:t>
    </w:r>
    <w:r w:rsidR="000A2DE9">
      <w:t>ministrazioni (ottava edizione) – ID 2615 – MODULI DI DICHIARAZIONE</w:t>
    </w:r>
    <w:r w:rsidRPr="00060C00">
      <w:t xml:space="preserve">                </w: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0A2DE9">
      <w:rPr>
        <w:noProof/>
      </w:rPr>
      <w:t>4</w:t>
    </w:r>
    <w:r>
      <w:fldChar w:fldCharType="end"/>
    </w:r>
  </w:p>
  <w:p w:rsidR="00450DAF" w:rsidRPr="00AF2095" w:rsidRDefault="000A2DE9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EA1" w:rsidRDefault="00662EA1" w:rsidP="007F0195">
      <w:pPr>
        <w:spacing w:line="240" w:lineRule="auto"/>
      </w:pPr>
      <w:r>
        <w:separator/>
      </w:r>
    </w:p>
  </w:footnote>
  <w:footnote w:type="continuationSeparator" w:id="0">
    <w:p w:rsidR="00662EA1" w:rsidRDefault="00662EA1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A2DE9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0C00"/>
    <w:rsid w:val="000752D2"/>
    <w:rsid w:val="00091FD5"/>
    <w:rsid w:val="000A20B6"/>
    <w:rsid w:val="000A2DE9"/>
    <w:rsid w:val="00102E5B"/>
    <w:rsid w:val="001105D3"/>
    <w:rsid w:val="00150176"/>
    <w:rsid w:val="001B3982"/>
    <w:rsid w:val="003072AF"/>
    <w:rsid w:val="00311F42"/>
    <w:rsid w:val="00341762"/>
    <w:rsid w:val="00381E13"/>
    <w:rsid w:val="003D6D78"/>
    <w:rsid w:val="003E3E61"/>
    <w:rsid w:val="003F46D1"/>
    <w:rsid w:val="0041714A"/>
    <w:rsid w:val="00466605"/>
    <w:rsid w:val="00471F57"/>
    <w:rsid w:val="00475ADD"/>
    <w:rsid w:val="00491D3C"/>
    <w:rsid w:val="00495282"/>
    <w:rsid w:val="004B3B48"/>
    <w:rsid w:val="005B2EE7"/>
    <w:rsid w:val="005D6245"/>
    <w:rsid w:val="005D673F"/>
    <w:rsid w:val="00662EA1"/>
    <w:rsid w:val="006A7731"/>
    <w:rsid w:val="007307F1"/>
    <w:rsid w:val="007F0195"/>
    <w:rsid w:val="008576F9"/>
    <w:rsid w:val="00893118"/>
    <w:rsid w:val="008B7F03"/>
    <w:rsid w:val="00917B9D"/>
    <w:rsid w:val="00971F8E"/>
    <w:rsid w:val="009D73C2"/>
    <w:rsid w:val="00A309A6"/>
    <w:rsid w:val="00A64B59"/>
    <w:rsid w:val="00AD0ED7"/>
    <w:rsid w:val="00B0646A"/>
    <w:rsid w:val="00B42C95"/>
    <w:rsid w:val="00BA5766"/>
    <w:rsid w:val="00C118DE"/>
    <w:rsid w:val="00C4098E"/>
    <w:rsid w:val="00C56018"/>
    <w:rsid w:val="00CA1740"/>
    <w:rsid w:val="00CA25D5"/>
    <w:rsid w:val="00CD6DD6"/>
    <w:rsid w:val="00D02B2A"/>
    <w:rsid w:val="00D30F65"/>
    <w:rsid w:val="00D452D0"/>
    <w:rsid w:val="00EE0C4C"/>
    <w:rsid w:val="00EF42CC"/>
    <w:rsid w:val="00F179B0"/>
    <w:rsid w:val="00FA15BB"/>
    <w:rsid w:val="00F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953320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5</cp:revision>
  <dcterms:created xsi:type="dcterms:W3CDTF">2023-03-07T11:43:00Z</dcterms:created>
  <dcterms:modified xsi:type="dcterms:W3CDTF">2023-04-17T07:39:00Z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1E5290F5-47A6-41B1-943F-27A80FAEEDB3}" pid="4" name="NomeTemplate">
    <vt:lpwstr>ALL27TTT</vt:lpwstr>
  </property>
  <property fmtid="{2946E36B-8D9C-4C31-A097-91EB8FC2D83B}" pid="5" name="MajorVersion">
    <vt:lpwstr>3</vt:lpwstr>
  </property>
  <property fmtid="{D3185306-FE4D-414C-BE0E-F120152C4488}" pid="6" name="MinorVersion">
    <vt:lpwstr>3</vt:lpwstr>
  </property>
</Properties>
</file>