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443031" w:rsidRDefault="00EA2EEC" w:rsidP="00A41E9B">
      <w:pPr>
        <w:rPr>
          <w:rFonts w:asciiTheme="minorHAnsi" w:hAnsiTheme="minorHAnsi" w:cstheme="minorHAnsi"/>
          <w:b/>
          <w:caps/>
          <w:color w:val="000000" w:themeColor="text1"/>
          <w:sz w:val="20"/>
          <w:szCs w:val="20"/>
        </w:rPr>
      </w:pPr>
      <w:r w:rsidRPr="00A41E9B">
        <w:rPr>
          <w:rFonts w:ascii="Calibri" w:hAnsi="Calibri"/>
          <w:sz w:val="15"/>
          <w:szCs w:val="15"/>
        </w:rPr>
        <w:br w:type="page"/>
      </w:r>
      <w:r w:rsidR="00443031" w:rsidRPr="00443031">
        <w:rPr>
          <w:rFonts w:asciiTheme="minorHAnsi" w:hAnsiTheme="minorHAnsi" w:cstheme="minorHAnsi"/>
          <w:b/>
          <w:caps/>
          <w:color w:val="000000" w:themeColor="text1"/>
          <w:sz w:val="20"/>
          <w:szCs w:val="20"/>
        </w:rPr>
        <w:t>Allegato n. 2 documento di gara unico europeo (DGUE)</w:t>
      </w:r>
    </w:p>
    <w:p w:rsidR="00443031" w:rsidRDefault="00443031" w:rsidP="00A41E9B">
      <w:pPr>
        <w:rPr>
          <w:rFonts w:asciiTheme="minorHAnsi" w:hAnsiTheme="minorHAnsi"/>
          <w:sz w:val="20"/>
          <w:szCs w:val="20"/>
        </w:rPr>
      </w:pPr>
    </w:p>
    <w:p w:rsidR="00443031" w:rsidRPr="00EE473E" w:rsidRDefault="00443031" w:rsidP="00A41E9B">
      <w:pPr>
        <w:rPr>
          <w:rFonts w:asciiTheme="minorHAnsi" w:hAnsiTheme="minorHAnsi"/>
          <w:sz w:val="20"/>
          <w:szCs w:val="20"/>
        </w:rPr>
      </w:pPr>
      <w:r w:rsidRPr="00EE473E">
        <w:rPr>
          <w:rFonts w:asciiTheme="minorHAnsi" w:hAnsiTheme="minorHAnsi"/>
          <w:sz w:val="20"/>
          <w:szCs w:val="20"/>
        </w:rPr>
        <w:t xml:space="preserve">Fermo restando che il </w:t>
      </w:r>
      <w:r w:rsidRPr="00EA1F36">
        <w:rPr>
          <w:rFonts w:asciiTheme="minorHAnsi" w:hAnsiTheme="minorHAnsi"/>
          <w:sz w:val="20"/>
          <w:szCs w:val="20"/>
        </w:rPr>
        <w:t>DGUE deve essere reso e sottoscritto con le</w:t>
      </w:r>
      <w:r w:rsidR="00F47D60">
        <w:rPr>
          <w:rFonts w:asciiTheme="minorHAnsi" w:hAnsiTheme="minorHAnsi"/>
          <w:sz w:val="20"/>
          <w:szCs w:val="20"/>
        </w:rPr>
        <w:t xml:space="preserve"> modalità indicate al par. 14.2</w:t>
      </w:r>
      <w:r w:rsidR="00EA1F36" w:rsidRPr="00F47D60">
        <w:rPr>
          <w:rFonts w:ascii="Calibri" w:hAnsi="Calibri"/>
          <w:i/>
          <w:sz w:val="20"/>
          <w:szCs w:val="20"/>
        </w:rPr>
        <w:t xml:space="preserve"> </w:t>
      </w:r>
      <w:r w:rsidR="00EA1F36" w:rsidRPr="00F47D60">
        <w:rPr>
          <w:rFonts w:ascii="Calibri" w:hAnsi="Calibri"/>
          <w:sz w:val="20"/>
          <w:szCs w:val="20"/>
        </w:rPr>
        <w:t xml:space="preserve">del </w:t>
      </w:r>
      <w:r w:rsidRPr="00F47D60">
        <w:rPr>
          <w:rFonts w:ascii="Calibri" w:hAnsi="Calibri"/>
          <w:sz w:val="20"/>
          <w:szCs w:val="20"/>
        </w:rPr>
        <w:t>Capitolato d’Oneri</w:t>
      </w:r>
      <w:r w:rsidRPr="00EA1F36">
        <w:rPr>
          <w:rFonts w:asciiTheme="minorHAnsi" w:hAnsiTheme="minorHAnsi"/>
          <w:sz w:val="20"/>
          <w:szCs w:val="20"/>
        </w:rPr>
        <w:t xml:space="preserve">, di seguito </w:t>
      </w:r>
      <w:r w:rsidRPr="00EE473E">
        <w:rPr>
          <w:rFonts w:asciiTheme="minorHAnsi" w:hAnsiTheme="minorHAnsi"/>
          <w:sz w:val="20"/>
          <w:szCs w:val="20"/>
        </w:rPr>
        <w:t>si forniscono alcune indicazioni utili alla compilazione.</w:t>
      </w:r>
    </w:p>
    <w:p w:rsidR="00443031" w:rsidRPr="004048D0" w:rsidRDefault="00443031" w:rsidP="00A41E9B">
      <w:pPr>
        <w:rPr>
          <w:rFonts w:asciiTheme="minorHAnsi" w:hAnsiTheme="minorHAnsi"/>
          <w:sz w:val="20"/>
          <w:szCs w:val="20"/>
          <w:highlight w:val="green"/>
        </w:rPr>
      </w:pPr>
    </w:p>
    <w:p w:rsidR="00443031" w:rsidRPr="00EE473E" w:rsidRDefault="00443031" w:rsidP="00A41E9B">
      <w:pPr>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rsidR="00443031" w:rsidRPr="00EE473E" w:rsidRDefault="00443031" w:rsidP="00A41E9B">
      <w:pPr>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rsidR="00443031" w:rsidRPr="00EE473E" w:rsidRDefault="00443031" w:rsidP="00A41E9B">
      <w:pPr>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rsidR="00443031" w:rsidRPr="00EE473E" w:rsidRDefault="00443031" w:rsidP="00A41E9B">
      <w:pPr>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A41E9B">
      <w:pPr>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rsidR="00443031" w:rsidRPr="00EE473E" w:rsidRDefault="00443031" w:rsidP="00A41E9B">
      <w:pPr>
        <w:rPr>
          <w:rFonts w:asciiTheme="minorHAnsi" w:hAnsiTheme="minorHAnsi" w:cs="Calibri"/>
          <w:sz w:val="20"/>
          <w:szCs w:val="20"/>
        </w:rPr>
      </w:pPr>
      <w:r w:rsidRPr="00EE473E">
        <w:rPr>
          <w:rFonts w:asciiTheme="minorHAnsi" w:hAnsiTheme="minorHAnsi" w:cs="Calibri"/>
          <w:sz w:val="20"/>
          <w:szCs w:val="20"/>
        </w:rPr>
        <w:t>Il concorrente indica la denominazione dell’operatore economico ausiliario e i requisiti oggetto di avvalimento ed allegare la produzione dell’ulteriore documentazione indicata n</w:t>
      </w:r>
      <w:r w:rsidR="00EA1F36">
        <w:rPr>
          <w:rFonts w:asciiTheme="minorHAnsi" w:hAnsiTheme="minorHAnsi" w:cs="Calibri"/>
          <w:sz w:val="20"/>
          <w:szCs w:val="20"/>
        </w:rPr>
        <w:t>el</w:t>
      </w:r>
      <w:r w:rsidRPr="00EE473E">
        <w:rPr>
          <w:rFonts w:asciiTheme="minorHAnsi" w:hAnsiTheme="minorHAnsi" w:cs="Calibri"/>
          <w:sz w:val="20"/>
          <w:szCs w:val="20"/>
        </w:rPr>
        <w:t xml:space="preserve"> </w:t>
      </w:r>
      <w:r w:rsidRPr="00F47D60">
        <w:rPr>
          <w:rFonts w:asciiTheme="minorHAnsi" w:hAnsiTheme="minorHAnsi" w:cs="Calibri"/>
          <w:sz w:val="20"/>
          <w:szCs w:val="20"/>
        </w:rPr>
        <w:t>capitolato d’oneri</w:t>
      </w:r>
      <w:r w:rsidRPr="00EE473E">
        <w:rPr>
          <w:rFonts w:asciiTheme="minorHAnsi" w:hAnsiTheme="minorHAnsi" w:cs="Calibri"/>
          <w:sz w:val="20"/>
          <w:szCs w:val="20"/>
        </w:rPr>
        <w:t>.</w:t>
      </w:r>
    </w:p>
    <w:p w:rsidR="00443031" w:rsidRPr="00EE473E" w:rsidRDefault="00443031" w:rsidP="00A41E9B">
      <w:pPr>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EE473E">
        <w:rPr>
          <w:rFonts w:asciiTheme="minorHAnsi" w:hAnsiTheme="minorHAnsi" w:cs="Calibri"/>
          <w:sz w:val="20"/>
          <w:szCs w:val="20"/>
          <w:u w:val="single"/>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rsidR="00026A00" w:rsidRDefault="00443031" w:rsidP="00A41E9B">
      <w:pPr>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rsidR="00026A00" w:rsidRDefault="00026A00" w:rsidP="00A41E9B">
      <w:pPr>
        <w:rPr>
          <w:rFonts w:asciiTheme="minorHAnsi" w:hAnsiTheme="minorHAnsi" w:cs="Calibri"/>
          <w:b/>
          <w:sz w:val="20"/>
          <w:szCs w:val="20"/>
        </w:rPr>
      </w:pPr>
      <w:r w:rsidRPr="00FB5B25">
        <w:rPr>
          <w:rFonts w:asciiTheme="minorHAnsi" w:hAnsiTheme="minorHAnsi" w:cstheme="minorHAnsi"/>
          <w:sz w:val="20"/>
          <w:szCs w:val="20"/>
        </w:rPr>
        <w:t>Il concorrente indica all’atto dell’offerta le parti del servizio/fornitura che intende subappaltare o concedere in cottimo. In caso di mancata indicazione delle prestazioni da subappaltare il subappalto è vietato.</w:t>
      </w:r>
      <w:r>
        <w:rPr>
          <w:rFonts w:asciiTheme="minorHAnsi" w:hAnsiTheme="minorHAnsi" w:cstheme="minorHAnsi"/>
          <w:sz w:val="20"/>
          <w:szCs w:val="20"/>
        </w:rPr>
        <w:t xml:space="preserve"> </w:t>
      </w:r>
    </w:p>
    <w:p w:rsidR="00026A00" w:rsidRPr="00026A00" w:rsidRDefault="00026A00" w:rsidP="00A41E9B">
      <w:pPr>
        <w:rPr>
          <w:rFonts w:asciiTheme="minorHAnsi" w:hAnsiTheme="minorHAnsi" w:cs="Calibri"/>
          <w:b/>
          <w:sz w:val="20"/>
          <w:szCs w:val="20"/>
        </w:rPr>
      </w:pPr>
      <w:r w:rsidRPr="007006BE">
        <w:rPr>
          <w:rFonts w:asciiTheme="minorHAnsi" w:hAnsiTheme="minorHAnsi" w:cstheme="minorHAnsi"/>
          <w:sz w:val="20"/>
          <w:szCs w:val="20"/>
        </w:rPr>
        <w:t>Il concorrente indica</w:t>
      </w:r>
      <w:r w:rsidR="00633176">
        <w:rPr>
          <w:rFonts w:asciiTheme="minorHAnsi" w:hAnsiTheme="minorHAnsi" w:cstheme="minorHAnsi"/>
          <w:sz w:val="20"/>
          <w:szCs w:val="20"/>
        </w:rPr>
        <w:t>, quindi,</w:t>
      </w:r>
      <w:r>
        <w:rPr>
          <w:rFonts w:asciiTheme="minorHAnsi" w:hAnsiTheme="minorHAnsi" w:cstheme="minorHAnsi"/>
          <w:sz w:val="20"/>
          <w:szCs w:val="20"/>
        </w:rPr>
        <w:t xml:space="preserve">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rsidR="00443031" w:rsidRPr="00EE473E" w:rsidRDefault="00443031" w:rsidP="00A41E9B">
      <w:pPr>
        <w:rPr>
          <w:rFonts w:asciiTheme="minorHAnsi" w:hAnsiTheme="minorHAnsi" w:cs="Arial"/>
          <w:b/>
          <w:sz w:val="20"/>
          <w:szCs w:val="20"/>
        </w:rPr>
      </w:pPr>
      <w:r w:rsidRPr="00EE473E">
        <w:rPr>
          <w:rFonts w:asciiTheme="minorHAnsi" w:hAnsiTheme="minorHAnsi" w:cs="Arial"/>
          <w:b/>
          <w:sz w:val="20"/>
          <w:szCs w:val="20"/>
        </w:rPr>
        <w:t>Parte III – Motivi di esclusione</w:t>
      </w:r>
    </w:p>
    <w:p w:rsidR="00443031" w:rsidRPr="00EE473E" w:rsidRDefault="00443031" w:rsidP="00A41E9B">
      <w:pPr>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Pr="00EE473E" w:rsidRDefault="002A32A6" w:rsidP="00A41E9B">
      <w:pPr>
        <w:rPr>
          <w:rFonts w:asciiTheme="minorHAnsi" w:hAnsiTheme="minorHAnsi" w:cs="Arial"/>
          <w:b/>
          <w:sz w:val="20"/>
          <w:szCs w:val="20"/>
        </w:rPr>
      </w:pPr>
      <w:r w:rsidRPr="00EE473E">
        <w:rPr>
          <w:rFonts w:asciiTheme="minorHAnsi" w:hAnsiTheme="minorHAnsi" w:cs="Arial"/>
          <w:b/>
          <w:sz w:val="20"/>
          <w:szCs w:val="20"/>
        </w:rPr>
        <w:t>Parte III – Motivi di esclusione</w:t>
      </w:r>
    </w:p>
    <w:p w:rsidR="002A32A6" w:rsidRPr="00EE473E" w:rsidRDefault="002A32A6" w:rsidP="00A41E9B">
      <w:pPr>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Default="002A32A6" w:rsidP="00A41E9B">
      <w:pPr>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Pr="00EE473E" w:rsidRDefault="00443031" w:rsidP="00A41E9B">
      <w:pPr>
        <w:rPr>
          <w:rFonts w:asciiTheme="minorHAnsi" w:hAnsiTheme="minorHAnsi" w:cs="Arial"/>
          <w:b/>
          <w:sz w:val="20"/>
          <w:szCs w:val="20"/>
        </w:rPr>
      </w:pPr>
      <w:r w:rsidRPr="00EE473E">
        <w:rPr>
          <w:rFonts w:asciiTheme="minorHAnsi" w:hAnsiTheme="minorHAnsi" w:cs="Arial"/>
          <w:b/>
          <w:sz w:val="20"/>
          <w:szCs w:val="20"/>
        </w:rPr>
        <w:t>Parte IV – Criteri di selezione</w:t>
      </w:r>
    </w:p>
    <w:p w:rsidR="00443031" w:rsidRPr="00EE473E" w:rsidRDefault="00A50F50" w:rsidP="00A41E9B">
      <w:pPr>
        <w:rPr>
          <w:rFonts w:asciiTheme="minorHAnsi" w:hAnsiTheme="minorHAnsi" w:cs="Calibri"/>
          <w:sz w:val="20"/>
          <w:szCs w:val="20"/>
        </w:rPr>
      </w:pPr>
      <w:r w:rsidRPr="00EE473E" w:rsidDel="00A50F50">
        <w:rPr>
          <w:rFonts w:asciiTheme="minorHAnsi" w:hAnsiTheme="minorHAnsi" w:cs="Calibri"/>
          <w:sz w:val="20"/>
          <w:szCs w:val="20"/>
        </w:rPr>
        <w:t xml:space="preserve"> </w:t>
      </w:r>
      <w:r w:rsidR="00443031" w:rsidRPr="00EE473E">
        <w:rPr>
          <w:rFonts w:asciiTheme="minorHAnsi" w:hAnsiTheme="minorHAnsi" w:cs="Calibri"/>
          <w:sz w:val="20"/>
          <w:szCs w:val="20"/>
        </w:rPr>
        <w:t>Il concorrente dichiara di possedere tutti i requisiti richiesti dai criteri di selezione compilando:</w:t>
      </w:r>
    </w:p>
    <w:p w:rsidR="00443031" w:rsidRPr="00EE473E" w:rsidRDefault="00443031" w:rsidP="00A41E9B">
      <w:pPr>
        <w:rPr>
          <w:rFonts w:asciiTheme="minorHAnsi" w:hAnsiTheme="minorHAnsi" w:cs="Calibri"/>
          <w:sz w:val="20"/>
          <w:szCs w:val="20"/>
        </w:rPr>
      </w:pPr>
      <w:r w:rsidRPr="00EE473E">
        <w:rPr>
          <w:rFonts w:asciiTheme="minorHAnsi" w:hAnsiTheme="minorHAnsi" w:cs="Calibri"/>
          <w:sz w:val="20"/>
          <w:szCs w:val="20"/>
        </w:rPr>
        <w:t xml:space="preserve">la sezione A per dichiarare il possesso del requisito relativo all’idoneità professionale di cui par. </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_Ref495411541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separate"/>
      </w:r>
      <w:r w:rsidR="006F1DC8">
        <w:rPr>
          <w:rFonts w:asciiTheme="minorHAnsi" w:hAnsiTheme="minorHAnsi" w:cs="Calibri"/>
          <w:b/>
          <w:bCs/>
          <w:sz w:val="20"/>
          <w:szCs w:val="20"/>
        </w:rPr>
        <w:t>Errore. L'origine riferimento non è stata trovata.</w:t>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presente disciplinare; </w:t>
      </w:r>
    </w:p>
    <w:p w:rsidR="00443031" w:rsidRPr="00EE473E" w:rsidRDefault="00443031" w:rsidP="00A41E9B">
      <w:pPr>
        <w:rPr>
          <w:rFonts w:asciiTheme="minorHAnsi" w:hAnsiTheme="minorHAnsi" w:cs="Calibri"/>
          <w:sz w:val="20"/>
          <w:szCs w:val="20"/>
        </w:rPr>
      </w:pPr>
      <w:r w:rsidRPr="00EE473E">
        <w:rPr>
          <w:rFonts w:asciiTheme="minorHAnsi" w:hAnsiTheme="minorHAnsi" w:cs="Calibri"/>
          <w:sz w:val="20"/>
          <w:szCs w:val="20"/>
        </w:rPr>
        <w:t>a)</w:t>
      </w:r>
      <w:r w:rsidRPr="00EE473E">
        <w:rPr>
          <w:rFonts w:asciiTheme="minorHAnsi" w:hAnsiTheme="minorHAnsi" w:cs="Calibri"/>
          <w:sz w:val="20"/>
          <w:szCs w:val="20"/>
        </w:rPr>
        <w:tab/>
        <w:t xml:space="preserve">la sezione B per dichiarare il possesso del requisito relativo alla capacità economico-finanziaria di cui al par. </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_Ref495411575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separate"/>
      </w:r>
      <w:r w:rsidR="006F1DC8">
        <w:rPr>
          <w:rFonts w:asciiTheme="minorHAnsi" w:hAnsiTheme="minorHAnsi" w:cs="Calibri"/>
          <w:b/>
          <w:bCs/>
          <w:sz w:val="20"/>
          <w:szCs w:val="20"/>
        </w:rPr>
        <w:t>Errore. L'origine riferimento non è stata trovata.</w:t>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presente disciplinare; </w:t>
      </w:r>
    </w:p>
    <w:p w:rsidR="00443031" w:rsidRPr="00EE473E" w:rsidRDefault="00443031" w:rsidP="00A41E9B">
      <w:pPr>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rsidR="00443031" w:rsidRPr="00EE473E" w:rsidRDefault="00443031" w:rsidP="00A41E9B">
      <w:pPr>
        <w:rPr>
          <w:rFonts w:asciiTheme="minorHAnsi" w:hAnsiTheme="minorHAnsi" w:cs="Calibri"/>
          <w:sz w:val="20"/>
          <w:szCs w:val="20"/>
        </w:rPr>
      </w:pPr>
      <w:r w:rsidRPr="00EE473E">
        <w:rPr>
          <w:rFonts w:asciiTheme="minorHAnsi" w:hAnsiTheme="minorHAnsi" w:cs="Calibri"/>
          <w:sz w:val="20"/>
          <w:szCs w:val="20"/>
        </w:rPr>
        <w:lastRenderedPageBreak/>
        <w:t>Il concorrente rende tutte le informazioni richieste mediante la compilazione delle parti pertinenti.</w:t>
      </w:r>
    </w:p>
    <w:p w:rsidR="00443031" w:rsidRPr="00EE473E" w:rsidRDefault="00443031" w:rsidP="00A41E9B">
      <w:pPr>
        <w:rPr>
          <w:caps/>
          <w:color w:val="000000" w:themeColor="text1"/>
          <w:sz w:val="15"/>
          <w:szCs w:val="15"/>
        </w:rPr>
      </w:pPr>
      <w:bookmarkStart w:id="0" w:name="_GoBack"/>
      <w:bookmarkEnd w:id="0"/>
    </w:p>
    <w:p w:rsidR="00443031" w:rsidRPr="00EE473E" w:rsidRDefault="00443031" w:rsidP="00A41E9B"/>
    <w:p w:rsidR="00EA2EEC" w:rsidRPr="00EE473E" w:rsidRDefault="00443031" w:rsidP="00A41E9B">
      <w:pPr>
        <w:rPr>
          <w:b/>
          <w:i/>
          <w:color w:val="000000" w:themeColor="text1"/>
          <w:sz w:val="15"/>
          <w:szCs w:val="15"/>
        </w:rPr>
      </w:pPr>
      <w:r w:rsidRPr="00EE473E">
        <w:rPr>
          <w:i/>
          <w:color w:val="000000" w:themeColor="text1"/>
          <w:sz w:val="15"/>
          <w:szCs w:val="15"/>
        </w:rPr>
        <w:t>***</w:t>
      </w:r>
    </w:p>
    <w:p w:rsidR="00EA2EEC" w:rsidRPr="00EE473E" w:rsidRDefault="00EA2EEC" w:rsidP="00A41E9B">
      <w:pPr>
        <w:rPr>
          <w:color w:val="000000" w:themeColor="text1"/>
          <w:sz w:val="15"/>
          <w:szCs w:val="15"/>
        </w:rPr>
      </w:pPr>
    </w:p>
    <w:p w:rsidR="00EA2EEC" w:rsidRPr="00EE473E" w:rsidRDefault="00EA2EEC" w:rsidP="00A41E9B">
      <w:pPr>
        <w:rPr>
          <w:caps/>
          <w:color w:val="000000" w:themeColor="text1"/>
          <w:sz w:val="15"/>
          <w:szCs w:val="15"/>
        </w:rPr>
      </w:pPr>
    </w:p>
    <w:p w:rsidR="00443031" w:rsidRPr="00EE473E" w:rsidRDefault="00443031" w:rsidP="00A41E9B">
      <w:pPr>
        <w:rPr>
          <w:caps/>
          <w:color w:val="000000" w:themeColor="text1"/>
          <w:sz w:val="15"/>
          <w:szCs w:val="15"/>
        </w:rPr>
      </w:pPr>
    </w:p>
    <w:p w:rsidR="00EA2EEC" w:rsidRPr="00EE473E" w:rsidRDefault="00EA2EEC" w:rsidP="00A41E9B">
      <w:pPr>
        <w:rPr>
          <w:caps/>
          <w:color w:val="000000" w:themeColor="text1"/>
          <w:sz w:val="15"/>
          <w:szCs w:val="15"/>
        </w:rPr>
      </w:pPr>
      <w:r w:rsidRPr="00EE473E">
        <w:rPr>
          <w:caps/>
          <w:color w:val="000000" w:themeColor="text1"/>
          <w:sz w:val="15"/>
          <w:szCs w:val="15"/>
        </w:rPr>
        <w:t>documento di gara unico europeo (DGUE)</w:t>
      </w:r>
    </w:p>
    <w:p w:rsidR="00EA2EEC" w:rsidRPr="00EE473E" w:rsidRDefault="00EA2EEC" w:rsidP="00A41E9B">
      <w:pPr>
        <w:rPr>
          <w:color w:val="000000" w:themeColor="text1"/>
          <w:sz w:val="15"/>
          <w:szCs w:val="15"/>
        </w:rPr>
      </w:pPr>
    </w:p>
    <w:p w:rsidR="00EA2EEC" w:rsidRPr="00EE473E" w:rsidRDefault="00EA2EEC" w:rsidP="00A41E9B">
      <w:pPr>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rsidR="00EA2EEC" w:rsidRPr="00EE473E" w:rsidRDefault="00EA2EEC" w:rsidP="00A41E9B">
      <w:pPr>
        <w:rPr>
          <w:color w:val="000000" w:themeColor="text1"/>
          <w:sz w:val="15"/>
          <w:szCs w:val="15"/>
        </w:rPr>
      </w:pPr>
    </w:p>
    <w:p w:rsidR="00EA2EEC" w:rsidRPr="00EE473E" w:rsidRDefault="00EA2EEC" w:rsidP="00A41E9B">
      <w:pPr>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rsidR="00EA2EEC" w:rsidRPr="00EE473E" w:rsidRDefault="00EA2EEC" w:rsidP="00A41E9B">
      <w:pPr>
        <w:rPr>
          <w:rFonts w:ascii="Arial" w:hAnsi="Arial" w:cs="Arial"/>
          <w:b/>
          <w:color w:val="000000" w:themeColor="text1"/>
          <w:sz w:val="15"/>
          <w:szCs w:val="15"/>
        </w:rPr>
      </w:pPr>
    </w:p>
    <w:p w:rsidR="00EA2EEC" w:rsidRPr="00EE473E" w:rsidRDefault="00EA2EEC" w:rsidP="00A41E9B">
      <w:pPr>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rsidR="00EA2EEC" w:rsidRPr="00EE473E" w:rsidRDefault="00EA2EEC" w:rsidP="00A41E9B">
      <w:pPr>
        <w:rPr>
          <w:rFonts w:ascii="Arial" w:hAnsi="Arial" w:cs="Arial"/>
          <w:b/>
          <w:color w:val="000000" w:themeColor="text1"/>
          <w:sz w:val="15"/>
          <w:szCs w:val="15"/>
        </w:rPr>
      </w:pPr>
      <w:r w:rsidRPr="00EE473E">
        <w:rPr>
          <w:rFonts w:ascii="Arial" w:hAnsi="Arial" w:cs="Arial"/>
          <w:b/>
          <w:color w:val="000000" w:themeColor="text1"/>
          <w:sz w:val="15"/>
          <w:szCs w:val="15"/>
        </w:rPr>
        <w:t xml:space="preserve">Numero dell'avviso nella GU S: </w:t>
      </w:r>
      <w:proofErr w:type="gramStart"/>
      <w:r w:rsidRPr="00EE473E">
        <w:rPr>
          <w:rFonts w:ascii="Arial" w:hAnsi="Arial" w:cs="Arial"/>
          <w:b/>
          <w:color w:val="000000" w:themeColor="text1"/>
          <w:sz w:val="15"/>
          <w:szCs w:val="15"/>
        </w:rPr>
        <w:t>[ ]</w:t>
      </w:r>
      <w:proofErr w:type="gramEnd"/>
      <w:r w:rsidRPr="00EE473E">
        <w:rPr>
          <w:rFonts w:ascii="Arial" w:hAnsi="Arial" w:cs="Arial"/>
          <w:b/>
          <w:color w:val="000000" w:themeColor="text1"/>
          <w:sz w:val="15"/>
          <w:szCs w:val="15"/>
        </w:rPr>
        <w:t>[ ][ ][ ]/S [ ][ ][ ]–[ ][ ][ ][ ][ ][ ][ ]</w:t>
      </w:r>
    </w:p>
    <w:p w:rsidR="00EA2EEC" w:rsidRPr="00EE473E" w:rsidRDefault="00EA2EEC" w:rsidP="00A41E9B">
      <w:pPr>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EE473E" w:rsidRDefault="00EA2EEC" w:rsidP="00A41E9B">
      <w:pPr>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roofErr w:type="gramStart"/>
      <w:r w:rsidRPr="00EE473E">
        <w:rPr>
          <w:rFonts w:ascii="Arial" w:hAnsi="Arial" w:cs="Arial"/>
          <w:b/>
          <w:color w:val="000000" w:themeColor="text1"/>
          <w:sz w:val="15"/>
          <w:szCs w:val="15"/>
        </w:rPr>
        <w:t>[….</w:t>
      </w:r>
      <w:proofErr w:type="gramEnd"/>
      <w:r w:rsidRPr="00EE473E">
        <w:rPr>
          <w:rFonts w:ascii="Arial" w:hAnsi="Arial" w:cs="Arial"/>
          <w:b/>
          <w:color w:val="000000" w:themeColor="text1"/>
          <w:sz w:val="15"/>
          <w:szCs w:val="15"/>
        </w:rPr>
        <w:t>]</w:t>
      </w:r>
    </w:p>
    <w:p w:rsidR="00EA2EEC" w:rsidRPr="00EE473E" w:rsidRDefault="00EA2EEC" w:rsidP="00A41E9B">
      <w:pPr>
        <w:rPr>
          <w:rFonts w:ascii="Arial" w:hAnsi="Arial" w:cs="Arial"/>
          <w:b/>
          <w:caps/>
          <w:smallCaps/>
          <w:color w:val="000000" w:themeColor="text1"/>
          <w:sz w:val="15"/>
          <w:szCs w:val="15"/>
        </w:rPr>
      </w:pPr>
    </w:p>
    <w:p w:rsidR="00EA2EEC" w:rsidRPr="00EE473E" w:rsidRDefault="00EA2EEC" w:rsidP="00A41E9B">
      <w:pPr>
        <w:rPr>
          <w:rFonts w:ascii="Arial" w:hAnsi="Arial" w:cs="Arial"/>
          <w:b/>
          <w:caps/>
          <w:smallCaps/>
          <w:color w:val="000000" w:themeColor="text1"/>
          <w:sz w:val="15"/>
          <w:szCs w:val="15"/>
        </w:rPr>
      </w:pPr>
      <w:r w:rsidRPr="00EE473E">
        <w:rPr>
          <w:rFonts w:ascii="Arial" w:hAnsi="Arial" w:cs="Arial"/>
          <w:caps/>
          <w:color w:val="000000" w:themeColor="text1"/>
          <w:sz w:val="15"/>
          <w:szCs w:val="15"/>
        </w:rPr>
        <w:t>Informazioni sulla procedura di appalto</w:t>
      </w:r>
    </w:p>
    <w:p w:rsidR="00EA2EEC" w:rsidRPr="00EE473E" w:rsidRDefault="00EA2EEC" w:rsidP="00A41E9B">
      <w:pPr>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A50F50" w:rsidRPr="00EE473E" w:rsidTr="00B103B8">
        <w:trPr>
          <w:trHeight w:val="349"/>
        </w:trPr>
        <w:tc>
          <w:tcPr>
            <w:tcW w:w="4644" w:type="dxa"/>
            <w:shd w:val="clear" w:color="auto" w:fill="auto"/>
          </w:tcPr>
          <w:p w:rsidR="00EA2EEC" w:rsidRPr="00EE473E" w:rsidRDefault="00EA2EEC" w:rsidP="00A41E9B">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rsidR="00EA2EEC" w:rsidRPr="00EE473E" w:rsidRDefault="00EA2EEC" w:rsidP="00A41E9B">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A50F50" w:rsidRPr="00EE473E" w:rsidTr="00B103B8">
        <w:trPr>
          <w:trHeight w:val="349"/>
        </w:trPr>
        <w:tc>
          <w:tcPr>
            <w:tcW w:w="4644" w:type="dxa"/>
            <w:shd w:val="clear" w:color="auto" w:fill="auto"/>
          </w:tcPr>
          <w:p w:rsidR="00EA2EEC" w:rsidRPr="00EE473E" w:rsidRDefault="00EA2EEC" w:rsidP="00A41E9B">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rsidR="00EA2EEC" w:rsidRPr="00EE473E" w:rsidRDefault="00EA2EEC" w:rsidP="00A41E9B">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rsidR="00EA2EEC" w:rsidRPr="00EE473E" w:rsidRDefault="00EA2EEC" w:rsidP="00A41E9B">
            <w:pPr>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rsidR="00EA2EEC" w:rsidRPr="00EE473E" w:rsidRDefault="00EA2EEC" w:rsidP="00A41E9B">
            <w:pPr>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A50F50" w:rsidRPr="00771AE4" w:rsidTr="00B103B8">
        <w:trPr>
          <w:trHeight w:val="485"/>
        </w:trPr>
        <w:tc>
          <w:tcPr>
            <w:tcW w:w="4644" w:type="dxa"/>
            <w:shd w:val="clear" w:color="auto" w:fill="auto"/>
          </w:tcPr>
          <w:p w:rsidR="00EA2EEC" w:rsidRPr="00EE473E" w:rsidRDefault="00EA2EEC" w:rsidP="00A41E9B">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A41E9B">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A50F50" w:rsidRPr="00771AE4" w:rsidTr="00B103B8">
        <w:trPr>
          <w:trHeight w:val="484"/>
        </w:trPr>
        <w:tc>
          <w:tcPr>
            <w:tcW w:w="4644"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A50F50" w:rsidP="00A41E9B">
            <w:pPr>
              <w:rPr>
                <w:rFonts w:ascii="Arial" w:hAnsi="Arial" w:cs="Arial"/>
                <w:color w:val="000000" w:themeColor="text1"/>
                <w:sz w:val="15"/>
                <w:szCs w:val="15"/>
              </w:rPr>
            </w:pPr>
            <w:r>
              <w:rPr>
                <w:rFonts w:ascii="Arial" w:hAnsi="Arial" w:cs="Arial"/>
                <w:sz w:val="15"/>
                <w:szCs w:val="15"/>
              </w:rPr>
              <w:t xml:space="preserve">Gara a procedura aperta per l’affidamento di un Accordo Quadro per ogni lotto per la fornitura di dispositivi impiantabili attivi per funzionalità cardiaca per le Pubbliche Amministrazioni – Edizione 2 </w:t>
            </w:r>
          </w:p>
        </w:tc>
      </w:tr>
      <w:tr w:rsidR="00A50F50" w:rsidRPr="00771AE4" w:rsidTr="00B103B8">
        <w:trPr>
          <w:trHeight w:val="484"/>
        </w:trPr>
        <w:tc>
          <w:tcPr>
            <w:tcW w:w="4644"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sz w:val="15"/>
                <w:szCs w:val="15"/>
              </w:rPr>
              <w:t xml:space="preserve">ID </w:t>
            </w:r>
            <w:r w:rsidR="00A50F50">
              <w:rPr>
                <w:rFonts w:ascii="Arial" w:hAnsi="Arial" w:cs="Arial"/>
                <w:sz w:val="15"/>
                <w:szCs w:val="15"/>
              </w:rPr>
              <w:t xml:space="preserve">2555 </w:t>
            </w:r>
          </w:p>
        </w:tc>
      </w:tr>
      <w:tr w:rsidR="00A50F50" w:rsidRPr="00771AE4" w:rsidTr="00B103B8">
        <w:trPr>
          <w:trHeight w:val="484"/>
        </w:trPr>
        <w:tc>
          <w:tcPr>
            <w:tcW w:w="4644"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A50F50" w:rsidRDefault="00A50F50" w:rsidP="00A41E9B">
            <w:pPr>
              <w:rPr>
                <w:rFonts w:ascii="Arial" w:hAnsi="Arial" w:cs="Arial"/>
                <w:color w:val="000000" w:themeColor="text1"/>
                <w:sz w:val="15"/>
                <w:szCs w:val="15"/>
              </w:rPr>
            </w:pPr>
          </w:p>
          <w:p w:rsidR="00A50F50" w:rsidRDefault="00A50F50" w:rsidP="00A41E9B">
            <w:pPr>
              <w:rPr>
                <w:rFonts w:ascii="Arial" w:hAnsi="Arial" w:cs="Arial"/>
                <w:color w:val="000000" w:themeColor="text1"/>
                <w:sz w:val="15"/>
                <w:szCs w:val="15"/>
              </w:rPr>
            </w:pPr>
          </w:p>
          <w:p w:rsidR="00A50F50" w:rsidRDefault="00A50F50" w:rsidP="00A41E9B">
            <w:pPr>
              <w:rPr>
                <w:rFonts w:ascii="Arial" w:hAnsi="Arial" w:cs="Arial"/>
                <w:color w:val="000000" w:themeColor="text1"/>
                <w:sz w:val="15"/>
                <w:szCs w:val="15"/>
              </w:rPr>
            </w:pPr>
          </w:p>
          <w:p w:rsidR="00A50F50" w:rsidRDefault="00A50F50" w:rsidP="00A41E9B">
            <w:pPr>
              <w:rPr>
                <w:rFonts w:ascii="Arial" w:hAnsi="Arial" w:cs="Arial"/>
                <w:color w:val="000000" w:themeColor="text1"/>
                <w:sz w:val="15"/>
                <w:szCs w:val="15"/>
              </w:rPr>
            </w:pPr>
          </w:p>
          <w:p w:rsidR="00A50F50" w:rsidRDefault="00A50F50" w:rsidP="00A41E9B">
            <w:pPr>
              <w:rPr>
                <w:rFonts w:ascii="Arial" w:hAnsi="Arial" w:cs="Arial"/>
                <w:color w:val="000000" w:themeColor="text1"/>
                <w:sz w:val="15"/>
                <w:szCs w:val="15"/>
              </w:rPr>
            </w:pPr>
          </w:p>
          <w:p w:rsidR="00A50F50" w:rsidRDefault="00A50F50" w:rsidP="00A41E9B">
            <w:pPr>
              <w:rPr>
                <w:rFonts w:ascii="Arial" w:hAnsi="Arial" w:cs="Arial"/>
                <w:color w:val="000000" w:themeColor="text1"/>
                <w:sz w:val="15"/>
                <w:szCs w:val="15"/>
              </w:rPr>
            </w:pPr>
          </w:p>
          <w:p w:rsidR="00A50F50" w:rsidRDefault="00A50F50" w:rsidP="00A41E9B">
            <w:pPr>
              <w:rPr>
                <w:rFonts w:ascii="Arial" w:hAnsi="Arial" w:cs="Arial"/>
                <w:color w:val="000000" w:themeColor="text1"/>
                <w:sz w:val="15"/>
                <w:szCs w:val="15"/>
              </w:rPr>
            </w:pPr>
          </w:p>
          <w:p w:rsidR="00A50F50" w:rsidRDefault="00A50F50" w:rsidP="00A41E9B">
            <w:pPr>
              <w:rPr>
                <w:rFonts w:ascii="Arial" w:hAnsi="Arial" w:cs="Arial"/>
                <w:color w:val="000000" w:themeColor="text1"/>
                <w:sz w:val="15"/>
                <w:szCs w:val="15"/>
              </w:rPr>
            </w:pPr>
          </w:p>
          <w:p w:rsidR="00A50F50" w:rsidRDefault="00A50F50"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A50F50" w:rsidRPr="00F47D60" w:rsidRDefault="00A50F50" w:rsidP="00A41E9B">
            <w:pPr>
              <w:rPr>
                <w:rFonts w:ascii="Arial" w:hAnsi="Arial" w:cs="Arial"/>
                <w:bCs/>
                <w:iCs/>
                <w:sz w:val="15"/>
                <w:szCs w:val="15"/>
              </w:rPr>
            </w:pPr>
            <w:r w:rsidRPr="00F47D60">
              <w:rPr>
                <w:rFonts w:ascii="Arial" w:hAnsi="Arial" w:cs="Arial"/>
                <w:bCs/>
                <w:iCs/>
                <w:sz w:val="15"/>
                <w:szCs w:val="15"/>
              </w:rPr>
              <w:lastRenderedPageBreak/>
              <w:t>Lotto 1 CIG 9636101A18</w:t>
            </w:r>
          </w:p>
          <w:p w:rsidR="00A50F50" w:rsidRPr="00F47D60" w:rsidRDefault="00A50F50" w:rsidP="00A41E9B">
            <w:pPr>
              <w:rPr>
                <w:rFonts w:ascii="Arial" w:hAnsi="Arial" w:cs="Arial"/>
                <w:bCs/>
                <w:iCs/>
                <w:sz w:val="15"/>
                <w:szCs w:val="15"/>
              </w:rPr>
            </w:pPr>
            <w:r w:rsidRPr="00F47D60">
              <w:rPr>
                <w:rFonts w:ascii="Arial" w:hAnsi="Arial" w:cs="Arial"/>
                <w:bCs/>
                <w:iCs/>
                <w:sz w:val="15"/>
                <w:szCs w:val="15"/>
              </w:rPr>
              <w:t xml:space="preserve">lotto 2 CIG 96361366FB </w:t>
            </w:r>
          </w:p>
          <w:p w:rsidR="00A50F50" w:rsidRPr="00F47D60" w:rsidRDefault="00A50F50" w:rsidP="00A41E9B">
            <w:pPr>
              <w:rPr>
                <w:rFonts w:ascii="Arial" w:hAnsi="Arial" w:cs="Arial"/>
                <w:bCs/>
                <w:iCs/>
                <w:sz w:val="15"/>
                <w:szCs w:val="15"/>
              </w:rPr>
            </w:pPr>
            <w:r w:rsidRPr="00F47D60">
              <w:rPr>
                <w:rFonts w:ascii="Arial" w:hAnsi="Arial" w:cs="Arial"/>
                <w:bCs/>
                <w:iCs/>
                <w:sz w:val="15"/>
                <w:szCs w:val="15"/>
              </w:rPr>
              <w:t>lotto 3 CIG 9636158922</w:t>
            </w:r>
          </w:p>
          <w:p w:rsidR="00A50F50" w:rsidRPr="00F47D60" w:rsidRDefault="00A50F50" w:rsidP="00A41E9B">
            <w:pPr>
              <w:rPr>
                <w:rFonts w:ascii="Arial" w:hAnsi="Arial" w:cs="Arial"/>
                <w:bCs/>
                <w:iCs/>
                <w:sz w:val="15"/>
                <w:szCs w:val="15"/>
              </w:rPr>
            </w:pPr>
            <w:r w:rsidRPr="00F47D60">
              <w:rPr>
                <w:rFonts w:ascii="Arial" w:hAnsi="Arial" w:cs="Arial"/>
                <w:bCs/>
                <w:iCs/>
                <w:sz w:val="15"/>
                <w:szCs w:val="15"/>
              </w:rPr>
              <w:t>lotto 4 CIG 9636173584</w:t>
            </w:r>
          </w:p>
          <w:p w:rsidR="00A50F50" w:rsidRPr="00F47D60" w:rsidRDefault="00A50F50" w:rsidP="00A41E9B">
            <w:pPr>
              <w:rPr>
                <w:rFonts w:ascii="Arial" w:hAnsi="Arial" w:cs="Arial"/>
                <w:bCs/>
                <w:iCs/>
                <w:sz w:val="15"/>
                <w:szCs w:val="15"/>
              </w:rPr>
            </w:pPr>
            <w:r w:rsidRPr="00F47D60">
              <w:rPr>
                <w:rFonts w:ascii="Arial" w:hAnsi="Arial" w:cs="Arial"/>
                <w:bCs/>
                <w:iCs/>
                <w:sz w:val="15"/>
                <w:szCs w:val="15"/>
              </w:rPr>
              <w:t>lotto 5 CIG 96362060C1</w:t>
            </w:r>
          </w:p>
          <w:p w:rsidR="00A50F50" w:rsidRPr="00F47D60" w:rsidRDefault="00A50F50" w:rsidP="00A41E9B">
            <w:pPr>
              <w:rPr>
                <w:rFonts w:ascii="Arial" w:hAnsi="Arial" w:cs="Arial"/>
                <w:bCs/>
                <w:iCs/>
                <w:sz w:val="15"/>
                <w:szCs w:val="15"/>
              </w:rPr>
            </w:pPr>
            <w:r w:rsidRPr="00F47D60">
              <w:rPr>
                <w:rFonts w:ascii="Arial" w:hAnsi="Arial" w:cs="Arial"/>
                <w:bCs/>
                <w:iCs/>
                <w:sz w:val="15"/>
                <w:szCs w:val="15"/>
              </w:rPr>
              <w:lastRenderedPageBreak/>
              <w:t>lotto 6 CIG 96362683EA</w:t>
            </w:r>
          </w:p>
          <w:p w:rsidR="00A50F50" w:rsidRPr="00F47D60" w:rsidRDefault="00A50F50" w:rsidP="00A41E9B">
            <w:pPr>
              <w:rPr>
                <w:rFonts w:ascii="Arial" w:hAnsi="Arial" w:cs="Arial"/>
                <w:bCs/>
                <w:iCs/>
                <w:sz w:val="15"/>
                <w:szCs w:val="15"/>
              </w:rPr>
            </w:pPr>
            <w:r w:rsidRPr="00F47D60">
              <w:rPr>
                <w:rFonts w:ascii="Arial" w:hAnsi="Arial" w:cs="Arial"/>
                <w:bCs/>
                <w:iCs/>
                <w:sz w:val="15"/>
                <w:szCs w:val="15"/>
              </w:rPr>
              <w:t>lotto 7 CIG 9636319DFD</w:t>
            </w:r>
          </w:p>
          <w:p w:rsidR="00A50F50" w:rsidRPr="00F47D60" w:rsidRDefault="00A50F50" w:rsidP="00A41E9B">
            <w:pPr>
              <w:rPr>
                <w:rFonts w:ascii="Arial" w:hAnsi="Arial" w:cs="Arial"/>
                <w:bCs/>
                <w:iCs/>
                <w:sz w:val="15"/>
                <w:szCs w:val="15"/>
              </w:rPr>
            </w:pPr>
            <w:r w:rsidRPr="00F47D60">
              <w:rPr>
                <w:rFonts w:ascii="Arial" w:hAnsi="Arial" w:cs="Arial"/>
                <w:bCs/>
                <w:iCs/>
                <w:sz w:val="15"/>
                <w:szCs w:val="15"/>
              </w:rPr>
              <w:t>lotto 8 CIG 9636340F51</w:t>
            </w:r>
          </w:p>
          <w:p w:rsidR="00A50F50" w:rsidRPr="00F47D60" w:rsidRDefault="00A50F50" w:rsidP="00A41E9B">
            <w:pPr>
              <w:rPr>
                <w:rFonts w:ascii="Arial" w:hAnsi="Arial" w:cs="Arial"/>
                <w:bCs/>
                <w:iCs/>
                <w:sz w:val="15"/>
                <w:szCs w:val="15"/>
              </w:rPr>
            </w:pPr>
            <w:r w:rsidRPr="00F47D60">
              <w:rPr>
                <w:rFonts w:ascii="Arial" w:hAnsi="Arial" w:cs="Arial"/>
                <w:bCs/>
                <w:iCs/>
                <w:sz w:val="15"/>
                <w:szCs w:val="15"/>
              </w:rPr>
              <w:t>lotto 9 CIG 9636360FD2</w:t>
            </w:r>
          </w:p>
          <w:p w:rsidR="00A50F50" w:rsidRDefault="00A50F50" w:rsidP="00A41E9B">
            <w:pPr>
              <w:rPr>
                <w:rFonts w:ascii="Arial" w:hAnsi="Arial" w:cs="Arial"/>
                <w:bCs/>
                <w:iCs/>
                <w:sz w:val="15"/>
                <w:szCs w:val="15"/>
              </w:rPr>
            </w:pPr>
            <w:r w:rsidRPr="00F47D60">
              <w:rPr>
                <w:rFonts w:ascii="Arial" w:hAnsi="Arial" w:cs="Arial"/>
                <w:bCs/>
                <w:iCs/>
                <w:sz w:val="15"/>
                <w:szCs w:val="15"/>
              </w:rPr>
              <w:t>lotto 10 CIG 9636380058</w:t>
            </w:r>
          </w:p>
          <w:p w:rsidR="00F47D60" w:rsidRPr="00F47D60" w:rsidRDefault="00F47D60" w:rsidP="00A41E9B">
            <w:pPr>
              <w:rPr>
                <w:rFonts w:ascii="Arial" w:hAnsi="Arial" w:cs="Arial"/>
                <w:bCs/>
                <w:iCs/>
                <w:sz w:val="15"/>
                <w:szCs w:val="15"/>
              </w:rPr>
            </w:pPr>
          </w:p>
          <w:p w:rsidR="00EA2EEC" w:rsidRPr="00771AE4" w:rsidRDefault="00A50F50" w:rsidP="00A41E9B">
            <w:pPr>
              <w:rPr>
                <w:rFonts w:ascii="Arial" w:hAnsi="Arial" w:cs="Arial"/>
                <w:color w:val="000000" w:themeColor="text1"/>
                <w:sz w:val="15"/>
                <w:szCs w:val="15"/>
              </w:rPr>
            </w:pPr>
            <w:r w:rsidRPr="00771AE4" w:rsidDel="00A50F50">
              <w:rPr>
                <w:rFonts w:ascii="Arial" w:hAnsi="Arial" w:cs="Arial"/>
                <w:sz w:val="15"/>
                <w:szCs w:val="15"/>
              </w:rPr>
              <w:t xml:space="preserve"> </w:t>
            </w:r>
            <w:r w:rsidR="00EA2EEC" w:rsidRPr="00771AE4">
              <w:rPr>
                <w:rFonts w:ascii="Arial" w:hAnsi="Arial" w:cs="Arial"/>
                <w:color w:val="000000" w:themeColor="text1"/>
                <w:sz w:val="15"/>
                <w:szCs w:val="15"/>
              </w:rPr>
              <w:t>[   ]</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A41E9B">
      <w:pPr>
        <w:rPr>
          <w:rFonts w:ascii="Arial" w:hAnsi="Arial" w:cs="Arial"/>
          <w:color w:val="000000" w:themeColor="text1"/>
          <w:sz w:val="15"/>
          <w:szCs w:val="15"/>
        </w:rPr>
      </w:pPr>
      <w:r w:rsidRPr="00771AE4">
        <w:rPr>
          <w:rFonts w:ascii="Arial" w:hAnsi="Arial" w:cs="Arial"/>
          <w:b/>
          <w:color w:val="000000" w:themeColor="text1"/>
          <w:sz w:val="15"/>
          <w:szCs w:val="15"/>
        </w:rPr>
        <w:lastRenderedPageBreak/>
        <w:t>Tutte le altre informazioni in tutte le sezioni del DGUE devono essere inserite dall'operatore economico</w:t>
      </w:r>
    </w:p>
    <w:p w:rsidR="00EA2EEC" w:rsidRPr="00771AE4" w:rsidRDefault="00EA2EEC" w:rsidP="00A41E9B">
      <w:pPr>
        <w:rPr>
          <w:b/>
          <w:color w:val="000000" w:themeColor="text1"/>
          <w:sz w:val="15"/>
          <w:szCs w:val="15"/>
        </w:rPr>
      </w:pPr>
      <w:r w:rsidRPr="00771AE4">
        <w:rPr>
          <w:color w:val="000000" w:themeColor="text1"/>
          <w:sz w:val="15"/>
          <w:szCs w:val="15"/>
        </w:rPr>
        <w:br w:type="page"/>
      </w:r>
    </w:p>
    <w:p w:rsidR="00EA2EEC" w:rsidRPr="00771AE4" w:rsidRDefault="00EA2EEC" w:rsidP="00A41E9B">
      <w:pPr>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A41E9B">
      <w:pPr>
        <w:rPr>
          <w:rFonts w:ascii="Arial" w:hAnsi="Arial" w:cs="Arial"/>
          <w:b/>
          <w:caps/>
          <w:smallCaps/>
          <w:color w:val="000000" w:themeColor="text1"/>
          <w:sz w:val="15"/>
          <w:szCs w:val="15"/>
        </w:rPr>
      </w:pPr>
      <w:r w:rsidRPr="00771AE4">
        <w:rPr>
          <w:rFonts w:ascii="Arial" w:hAnsi="Arial" w:cs="Arial"/>
          <w:caps/>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2"/>
        <w:gridCol w:w="4571"/>
      </w:tblGrid>
      <w:tr w:rsidR="00EA2EEC" w:rsidRPr="00771AE4" w:rsidTr="00B103B8">
        <w:tc>
          <w:tcPr>
            <w:tcW w:w="4644" w:type="dxa"/>
            <w:shd w:val="clear" w:color="auto" w:fill="auto"/>
          </w:tcPr>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A41E9B">
            <w:pPr>
              <w:rPr>
                <w:rFonts w:ascii="Arial" w:hAnsi="Arial" w:cs="Arial"/>
                <w:color w:val="000000" w:themeColor="text1"/>
                <w:sz w:val="15"/>
                <w:szCs w:val="15"/>
              </w:rPr>
            </w:pPr>
          </w:p>
        </w:tc>
        <w:tc>
          <w:tcPr>
            <w:tcW w:w="4645" w:type="dxa"/>
            <w:shd w:val="clear" w:color="auto" w:fill="auto"/>
          </w:tcPr>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A41E9B">
            <w:pPr>
              <w:rPr>
                <w:rFonts w:ascii="Arial" w:hAnsi="Arial" w:cs="Arial"/>
                <w:b/>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A41E9B">
            <w:pPr>
              <w:rPr>
                <w:rFonts w:ascii="Arial" w:hAnsi="Arial" w:cs="Arial"/>
                <w:b/>
                <w:color w:val="000000" w:themeColor="text1"/>
                <w:sz w:val="15"/>
                <w:szCs w:val="15"/>
              </w:rPr>
            </w:pPr>
          </w:p>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A41E9B">
            <w:pPr>
              <w:rPr>
                <w:rFonts w:ascii="Arial" w:hAnsi="Arial" w:cs="Arial"/>
                <w:color w:val="000000" w:themeColor="text1"/>
                <w:sz w:val="15"/>
                <w:szCs w:val="15"/>
              </w:rPr>
            </w:pPr>
          </w:p>
        </w:tc>
        <w:tc>
          <w:tcPr>
            <w:tcW w:w="4645" w:type="dxa"/>
            <w:shd w:val="clear" w:color="auto" w:fill="auto"/>
          </w:tcPr>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A41E9B">
            <w:pPr>
              <w:rPr>
                <w:rFonts w:ascii="Arial" w:hAnsi="Arial" w:cs="Arial"/>
                <w:i/>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A41E9B">
            <w:pPr>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A41E9B">
            <w:pPr>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A41E9B">
            <w:pPr>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A41E9B">
            <w:pPr>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A41E9B">
            <w:pPr>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A41E9B">
            <w:pPr>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A41E9B">
            <w:pPr>
              <w:rPr>
                <w:rFonts w:ascii="Arial" w:hAnsi="Arial" w:cs="Arial"/>
                <w:i/>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A41E9B">
            <w:pPr>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b) (indirizzo web, autor</w:t>
            </w:r>
            <w:r w:rsidR="00F47D60">
              <w:rPr>
                <w:rFonts w:ascii="Arial" w:hAnsi="Arial" w:cs="Arial"/>
                <w:color w:val="000000" w:themeColor="text1"/>
                <w:sz w:val="15"/>
                <w:szCs w:val="15"/>
              </w:rPr>
              <w:t xml:space="preserve">ità o organismo di emanazione, </w:t>
            </w:r>
            <w:r w:rsidRPr="00771AE4">
              <w:rPr>
                <w:rFonts w:ascii="Arial" w:hAnsi="Arial" w:cs="Arial"/>
                <w:color w:val="000000" w:themeColor="text1"/>
                <w:sz w:val="15"/>
                <w:szCs w:val="15"/>
              </w:rPr>
              <w:t>riferimento preciso della documentazione):</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A41E9B">
            <w:pPr>
              <w:rPr>
                <w:rFonts w:ascii="Arial" w:hAnsi="Arial" w:cs="Arial"/>
                <w:b/>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A41E9B">
            <w:pPr>
              <w:rPr>
                <w:rFonts w:ascii="Arial" w:hAnsi="Arial" w:cs="Arial"/>
                <w:b/>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A41E9B">
            <w:pPr>
              <w:rPr>
                <w:rFonts w:ascii="Arial" w:hAnsi="Arial" w:cs="Arial"/>
                <w:color w:val="000000" w:themeColor="text1"/>
                <w:sz w:val="15"/>
                <w:szCs w:val="15"/>
              </w:rPr>
            </w:pPr>
          </w:p>
        </w:tc>
        <w:tc>
          <w:tcPr>
            <w:tcW w:w="4645" w:type="dxa"/>
            <w:shd w:val="clear" w:color="auto" w:fill="auto"/>
          </w:tcPr>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A41E9B">
            <w:pPr>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A41E9B">
            <w:pPr>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A41E9B">
      <w:pPr>
        <w:rPr>
          <w:rFonts w:ascii="Arial" w:hAnsi="Arial" w:cs="Arial"/>
          <w:b/>
          <w:caps/>
          <w:smallCaps/>
          <w:color w:val="000000" w:themeColor="text1"/>
          <w:sz w:val="15"/>
          <w:szCs w:val="15"/>
        </w:rPr>
      </w:pPr>
    </w:p>
    <w:p w:rsidR="00EA2EEC" w:rsidRPr="00771AE4" w:rsidRDefault="00EA2EEC" w:rsidP="00A41E9B">
      <w:pPr>
        <w:rPr>
          <w:rFonts w:ascii="Arial" w:hAnsi="Arial" w:cs="Arial"/>
          <w:b/>
          <w:caps/>
          <w:smallCaps/>
          <w:color w:val="000000" w:themeColor="text1"/>
          <w:sz w:val="15"/>
          <w:szCs w:val="15"/>
        </w:rPr>
      </w:pPr>
    </w:p>
    <w:p w:rsidR="00EA2EEC" w:rsidRPr="00771AE4" w:rsidRDefault="00EA2EEC" w:rsidP="00A41E9B">
      <w:pPr>
        <w:rPr>
          <w:rFonts w:ascii="Arial" w:hAnsi="Arial" w:cs="Arial"/>
          <w:b/>
          <w:caps/>
          <w:smallCaps/>
          <w:color w:val="000000" w:themeColor="text1"/>
          <w:sz w:val="15"/>
          <w:szCs w:val="15"/>
        </w:rPr>
      </w:pPr>
      <w:r w:rsidRPr="00771AE4">
        <w:rPr>
          <w:rFonts w:ascii="Arial" w:hAnsi="Arial" w:cs="Arial"/>
          <w:caps/>
          <w:color w:val="000000" w:themeColor="text1"/>
          <w:sz w:val="15"/>
          <w:szCs w:val="15"/>
        </w:rPr>
        <w:t>B: Informazioni sui rappresentanti dell'operatore economico</w:t>
      </w:r>
    </w:p>
    <w:p w:rsidR="00EA2EEC" w:rsidRPr="00771AE4" w:rsidRDefault="00EA2EEC" w:rsidP="00A41E9B">
      <w:pP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A41E9B">
      <w:pPr>
        <w:rPr>
          <w:rFonts w:ascii="Arial" w:hAnsi="Arial" w:cs="Arial"/>
          <w:b/>
          <w:caps/>
          <w:smallCaps/>
          <w:color w:val="000000" w:themeColor="text1"/>
          <w:sz w:val="15"/>
          <w:szCs w:val="15"/>
        </w:rPr>
      </w:pPr>
    </w:p>
    <w:p w:rsidR="00EA2EEC" w:rsidRPr="00771AE4" w:rsidRDefault="00EA2EEC" w:rsidP="00A41E9B">
      <w:pPr>
        <w:rPr>
          <w:rFonts w:ascii="Arial" w:hAnsi="Arial" w:cs="Arial"/>
          <w:b/>
          <w:smallCaps/>
          <w:color w:val="000000" w:themeColor="text1"/>
          <w:sz w:val="15"/>
          <w:szCs w:val="15"/>
        </w:rPr>
      </w:pPr>
      <w:r w:rsidRPr="00771AE4">
        <w:rPr>
          <w:rFonts w:ascii="Arial" w:hAnsi="Arial" w:cs="Arial"/>
          <w:caps/>
          <w:color w:val="000000" w:themeColor="text1"/>
          <w:sz w:val="15"/>
          <w:szCs w:val="15"/>
        </w:rPr>
        <w:t>C: Informazioni sull'affidamento SULLE Capacità di altri soggetti (</w:t>
      </w:r>
      <w:r w:rsidRPr="00771AE4">
        <w:rPr>
          <w:rFonts w:ascii="Arial" w:hAnsi="Arial" w:cs="Arial"/>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A41E9B">
            <w:pPr>
              <w:rPr>
                <w:rFonts w:ascii="Arial" w:hAnsi="Arial" w:cs="Arial"/>
                <w:b/>
                <w:iCs/>
                <w:color w:val="000000" w:themeColor="text1"/>
                <w:sz w:val="15"/>
                <w:szCs w:val="15"/>
              </w:rPr>
            </w:pPr>
          </w:p>
          <w:p w:rsidR="00EA2EEC" w:rsidRPr="00771AE4" w:rsidRDefault="00EA2EEC" w:rsidP="00A41E9B">
            <w:pPr>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A41E9B">
            <w:pPr>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A41E9B">
            <w:pPr>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A41E9B">
      <w:pPr>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A41E9B">
      <w:pPr>
        <w:rPr>
          <w:color w:val="000000" w:themeColor="text1"/>
          <w:sz w:val="15"/>
          <w:szCs w:val="15"/>
        </w:rPr>
      </w:pPr>
    </w:p>
    <w:p w:rsidR="00EA2EEC" w:rsidRPr="00771AE4" w:rsidRDefault="00EA2EEC" w:rsidP="00A41E9B">
      <w:pPr>
        <w:rPr>
          <w:rFonts w:ascii="Arial" w:hAnsi="Arial" w:cs="Arial"/>
          <w:b/>
          <w:caps/>
          <w:color w:val="000000" w:themeColor="text1"/>
          <w:sz w:val="15"/>
          <w:szCs w:val="15"/>
        </w:rPr>
      </w:pPr>
      <w:r w:rsidRPr="00771AE4">
        <w:rPr>
          <w:rFonts w:ascii="Arial" w:hAnsi="Arial" w:cs="Arial"/>
          <w:caps/>
          <w:color w:val="000000" w:themeColor="text1"/>
          <w:sz w:val="15"/>
          <w:szCs w:val="15"/>
        </w:rPr>
        <w:t>D: Informazioni concernenti i subappaltatori sulle cui capacità l'operatore economico non fa</w:t>
      </w:r>
    </w:p>
    <w:p w:rsidR="00EA2EEC" w:rsidRPr="00771AE4" w:rsidRDefault="00EA2EEC" w:rsidP="00A41E9B">
      <w:pPr>
        <w:rPr>
          <w:rFonts w:ascii="Arial" w:hAnsi="Arial" w:cs="Arial"/>
          <w:caps/>
          <w:smallCaps/>
          <w:color w:val="000000" w:themeColor="text1"/>
          <w:sz w:val="15"/>
          <w:szCs w:val="15"/>
        </w:rPr>
      </w:pPr>
      <w:r w:rsidRPr="00771AE4">
        <w:rPr>
          <w:rFonts w:ascii="Arial" w:hAnsi="Arial" w:cs="Arial"/>
          <w:caps/>
          <w:color w:val="000000" w:themeColor="text1"/>
          <w:sz w:val="15"/>
          <w:szCs w:val="15"/>
        </w:rPr>
        <w:t xml:space="preserve"> affidamento (</w:t>
      </w:r>
      <w:r w:rsidRPr="00771AE4">
        <w:rPr>
          <w:rFonts w:ascii="Arial" w:hAnsi="Arial" w:cs="Arial"/>
          <w:color w:val="000000" w:themeColor="text1"/>
          <w:sz w:val="15"/>
          <w:szCs w:val="15"/>
        </w:rPr>
        <w:t>Articolo 105 del Codice - Subappalto)</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A41E9B">
            <w:pPr>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A41E9B">
            <w:pPr>
              <w:rPr>
                <w:rFonts w:ascii="Arial" w:hAnsi="Arial" w:cs="Arial"/>
                <w:b/>
                <w:color w:val="000000" w:themeColor="text1"/>
                <w:sz w:val="15"/>
                <w:szCs w:val="15"/>
              </w:rPr>
            </w:pPr>
          </w:p>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A41E9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A41E9B">
            <w:pPr>
              <w:rPr>
                <w:rFonts w:ascii="Arial" w:hAnsi="Arial" w:cs="Arial"/>
                <w:b/>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A41E9B">
      <w:pPr>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A41E9B">
      <w:pPr>
        <w:rPr>
          <w:rFonts w:ascii="Arial" w:hAnsi="Arial" w:cs="Arial"/>
          <w:caps/>
          <w:smallCaps/>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caps/>
          <w:color w:val="000000" w:themeColor="text1"/>
          <w:sz w:val="15"/>
          <w:szCs w:val="15"/>
        </w:rPr>
        <w:t>(</w:t>
      </w:r>
      <w:r w:rsidRPr="00771AE4">
        <w:rPr>
          <w:rFonts w:ascii="Arial" w:hAnsi="Arial" w:cs="Arial"/>
          <w:color w:val="000000" w:themeColor="text1"/>
          <w:sz w:val="15"/>
          <w:szCs w:val="15"/>
        </w:rPr>
        <w:t>Articolo 80 del Codice)</w:t>
      </w:r>
    </w:p>
    <w:p w:rsidR="00EA2EEC" w:rsidRPr="00771AE4" w:rsidRDefault="00EA2EEC" w:rsidP="00A41E9B">
      <w:pPr>
        <w:rPr>
          <w:rFonts w:ascii="Arial" w:hAnsi="Arial" w:cs="Arial"/>
          <w:b/>
          <w:caps/>
          <w:smallCaps/>
          <w:color w:val="000000" w:themeColor="text1"/>
          <w:sz w:val="15"/>
          <w:szCs w:val="15"/>
        </w:rPr>
      </w:pPr>
      <w:r w:rsidRPr="00771AE4">
        <w:rPr>
          <w:rFonts w:ascii="Arial" w:hAnsi="Arial" w:cs="Arial"/>
          <w:caps/>
          <w:color w:val="000000" w:themeColor="text1"/>
          <w:sz w:val="15"/>
          <w:szCs w:val="15"/>
        </w:rPr>
        <w:t>A: Motivi legati a condanne penali</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A41E9B">
      <w:pPr>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A41E9B">
      <w:pPr>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A41E9B">
      <w:pPr>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A41E9B">
      <w:pPr>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A41E9B">
      <w:pPr>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A41E9B">
      <w:pPr>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A41E9B">
      <w:pPr>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A41E9B">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A41E9B">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A41E9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A41E9B">
            <w:pPr>
              <w:rPr>
                <w:rFonts w:ascii="Arial" w:hAnsi="Arial" w:cs="Arial"/>
                <w:b/>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A41E9B">
            <w:pPr>
              <w:rPr>
                <w:rFonts w:ascii="Arial" w:hAnsi="Arial" w:cs="Arial"/>
                <w:b/>
                <w:color w:val="000000" w:themeColor="text1"/>
                <w:sz w:val="15"/>
                <w:szCs w:val="15"/>
              </w:rPr>
            </w:pPr>
          </w:p>
          <w:p w:rsidR="00EA2EEC" w:rsidRPr="00771AE4" w:rsidRDefault="00EA2EEC" w:rsidP="00A41E9B">
            <w:pPr>
              <w:rPr>
                <w:rFonts w:ascii="Arial" w:hAnsi="Arial" w:cs="Arial"/>
                <w:b/>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A41E9B">
            <w:pPr>
              <w:rPr>
                <w:rFonts w:ascii="Arial" w:hAnsi="Arial" w:cs="Arial"/>
                <w:b/>
                <w:color w:val="000000" w:themeColor="text1"/>
                <w:sz w:val="15"/>
                <w:szCs w:val="15"/>
              </w:rPr>
            </w:pPr>
            <w:r w:rsidRPr="00771AE4">
              <w:rPr>
                <w:rFonts w:ascii="Arial" w:hAnsi="Arial" w:cs="Arial"/>
                <w:color w:val="000000" w:themeColor="text1"/>
                <w:sz w:val="15"/>
                <w:szCs w:val="15"/>
              </w:rPr>
              <w:t xml:space="preserve">In caso di sentenze di condanna, l'operatore economico ha adottato misure sufficienti a dimostrare la sua affidabilità </w:t>
            </w:r>
            <w:r w:rsidRPr="00771AE4">
              <w:rPr>
                <w:rFonts w:ascii="Arial" w:hAnsi="Arial" w:cs="Arial"/>
                <w:color w:val="000000" w:themeColor="text1"/>
                <w:sz w:val="15"/>
                <w:szCs w:val="15"/>
              </w:rPr>
              <w:lastRenderedPageBreak/>
              <w:t>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A41E9B">
            <w:pPr>
              <w:rPr>
                <w:rFonts w:ascii="Arial" w:hAnsi="Arial" w:cs="Arial"/>
                <w:color w:val="000000" w:themeColor="text1"/>
                <w:sz w:val="15"/>
                <w:szCs w:val="15"/>
              </w:rPr>
            </w:pPr>
          </w:p>
        </w:tc>
        <w:tc>
          <w:tcPr>
            <w:tcW w:w="4759" w:type="dxa"/>
          </w:tcPr>
          <w:p w:rsidR="00EA2EEC" w:rsidRPr="00771AE4" w:rsidRDefault="00EA2EEC" w:rsidP="00A41E9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A41E9B">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A41E9B">
            <w:pPr>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41E9B">
            <w:pPr>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A41E9B">
            <w:pPr>
              <w:rPr>
                <w:rFonts w:ascii="Arial" w:hAnsi="Arial" w:cs="Arial"/>
                <w:color w:val="000000" w:themeColor="text1"/>
                <w:sz w:val="15"/>
                <w:szCs w:val="15"/>
              </w:rPr>
            </w:pPr>
          </w:p>
          <w:p w:rsidR="00EA2EEC" w:rsidRPr="00771AE4" w:rsidRDefault="00EA2EEC" w:rsidP="00A41E9B">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A41E9B">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2"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3"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4"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5"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lastRenderedPageBreak/>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default" r:id="rId17"/>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973" w:rsidRDefault="00B90973" w:rsidP="00EA2EEC">
      <w:pPr>
        <w:spacing w:before="0" w:after="0"/>
      </w:pPr>
      <w:r>
        <w:separator/>
      </w:r>
    </w:p>
  </w:endnote>
  <w:endnote w:type="continuationSeparator" w:id="0">
    <w:p w:rsidR="00B90973" w:rsidRDefault="00B90973"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A41E9B" w:rsidRDefault="00A41E9B" w:rsidP="00A41E9B">
        <w:pPr>
          <w:pStyle w:val="CLASSIFICAZIONEFOOTER4"/>
        </w:pPr>
        <w:r>
          <w:t xml:space="preserve">Moduli di dichiarazione - </w:t>
        </w:r>
        <w:r w:rsidRPr="00237219">
          <w:t xml:space="preserve">Gara a procedura aperta ai sensi del </w:t>
        </w:r>
        <w:proofErr w:type="spellStart"/>
        <w:proofErr w:type="gramStart"/>
        <w:r w:rsidRPr="00237219">
          <w:t>D.Lgs</w:t>
        </w:r>
        <w:proofErr w:type="gramEnd"/>
        <w:r w:rsidRPr="00237219">
          <w:t>.</w:t>
        </w:r>
        <w:proofErr w:type="spellEnd"/>
        <w:r w:rsidRPr="00237219">
          <w:t xml:space="preserve"> 50/2016 e </w:t>
        </w:r>
        <w:proofErr w:type="spellStart"/>
        <w:r w:rsidRPr="00237219">
          <w:t>s.m.i.</w:t>
        </w:r>
        <w:proofErr w:type="spellEnd"/>
        <w:r w:rsidRPr="00237219">
          <w:t xml:space="preserve">, </w:t>
        </w:r>
        <w:r w:rsidRPr="00237219">
          <w:rPr>
            <w:szCs w:val="16"/>
          </w:rPr>
          <w:t>per</w:t>
        </w:r>
        <w:r w:rsidRPr="00237219">
          <w:rPr>
            <w:rStyle w:val="CorsivobluCarattere"/>
            <w:rFonts w:eastAsiaTheme="minorHAnsi"/>
            <w:szCs w:val="16"/>
          </w:rPr>
          <w:t xml:space="preserve"> </w:t>
        </w:r>
        <w:r w:rsidRPr="00237219">
          <w:rPr>
            <w:szCs w:val="16"/>
          </w:rPr>
          <w:t xml:space="preserve">la conclusione di un Accordo Quadro </w:t>
        </w:r>
        <w:r>
          <w:rPr>
            <w:szCs w:val="16"/>
          </w:rPr>
          <w:t>per ogni Lotto</w:t>
        </w:r>
        <w:r w:rsidRPr="00237219">
          <w:rPr>
            <w:szCs w:val="16"/>
          </w:rPr>
          <w:t xml:space="preserve"> avente ad oggetto </w:t>
        </w:r>
        <w:r>
          <w:rPr>
            <w:szCs w:val="16"/>
          </w:rPr>
          <w:t xml:space="preserve">la fornitura di dispositivi impiantabili attivi per funzionalità cardiaca </w:t>
        </w:r>
        <w:r w:rsidRPr="00237219">
          <w:t xml:space="preserve">per le Pubbliche Amministrazioni </w:t>
        </w:r>
        <w:r>
          <w:t>– Edizione 2 – ID 2555</w:t>
        </w:r>
      </w:p>
      <w:p w:rsidR="00EA2EEC" w:rsidRPr="00EA2EEC" w:rsidRDefault="00A41E9B" w:rsidP="00EA2EEC">
        <w:pPr>
          <w:pStyle w:val="Pidipagina"/>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973" w:rsidRDefault="00B90973" w:rsidP="00EA2EEC">
      <w:pPr>
        <w:spacing w:before="0" w:after="0"/>
      </w:pPr>
      <w:r>
        <w:separator/>
      </w:r>
    </w:p>
  </w:footnote>
  <w:footnote w:type="continuationSeparator" w:id="0">
    <w:p w:rsidR="00B90973" w:rsidRDefault="00B90973"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4" w:rsidRDefault="00A41E9B">
    <w:pPr>
      <w:pStyle w:val="TAGTECNICI"/>
    </w:pPr>
    <w:sdt>
      <w:sdtPr>
        <w:alias w:val="NomeTemplate"/>
        <w:tag w:val="Version_3_3"/>
        <w:id w:val="2127342580"/>
        <w:lock w:val="sdtContentLocked"/>
      </w:sdtPr>
      <w:sdtEndPr/>
      <w:sdtContent>
        <w:r w:rsidR="00195D20">
          <w:t>ALL20TTT</w:t>
        </w:r>
      </w:sdtContent>
    </w:sdt>
  </w:p>
  <w:p w:rsidR="00ED6684" w:rsidRDefault="00ED668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CB221D"/>
    <w:multiLevelType w:val="hybridMultilevel"/>
    <w:tmpl w:val="B1EC5192"/>
    <w:lvl w:ilvl="0" w:tplc="04100001">
      <w:start w:val="1"/>
      <w:numFmt w:val="bullet"/>
      <w:lvlText w:val=""/>
      <w:lvlJc w:val="left"/>
      <w:pPr>
        <w:ind w:left="927" w:hanging="360"/>
      </w:pPr>
      <w:rPr>
        <w:rFonts w:ascii="Symbol" w:hAnsi="Symbol" w:hint="default"/>
      </w:rPr>
    </w:lvl>
    <w:lvl w:ilvl="1" w:tplc="04100003">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20"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7"/>
  </w:num>
  <w:num w:numId="3">
    <w:abstractNumId w:val="17"/>
  </w:num>
  <w:num w:numId="4">
    <w:abstractNumId w:val="20"/>
  </w:num>
  <w:num w:numId="5">
    <w:abstractNumId w:val="8"/>
  </w:num>
  <w:num w:numId="6">
    <w:abstractNumId w:val="3"/>
  </w:num>
  <w:num w:numId="7">
    <w:abstractNumId w:val="18"/>
  </w:num>
  <w:num w:numId="8">
    <w:abstractNumId w:val="26"/>
  </w:num>
  <w:num w:numId="9">
    <w:abstractNumId w:val="1"/>
  </w:num>
  <w:num w:numId="10">
    <w:abstractNumId w:val="21"/>
  </w:num>
  <w:num w:numId="11">
    <w:abstractNumId w:val="11"/>
  </w:num>
  <w:num w:numId="12">
    <w:abstractNumId w:val="23"/>
  </w:num>
  <w:num w:numId="13">
    <w:abstractNumId w:val="9"/>
  </w:num>
  <w:num w:numId="14">
    <w:abstractNumId w:val="13"/>
  </w:num>
  <w:num w:numId="15">
    <w:abstractNumId w:val="2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num>
  <w:num w:numId="18">
    <w:abstractNumId w:val="19"/>
    <w:lvlOverride w:ilvl="0">
      <w:startOverride w:val="1"/>
    </w:lvlOverride>
  </w:num>
  <w:num w:numId="19">
    <w:abstractNumId w:val="6"/>
  </w:num>
  <w:num w:numId="20">
    <w:abstractNumId w:val="22"/>
  </w:num>
  <w:num w:numId="21">
    <w:abstractNumId w:val="2"/>
  </w:num>
  <w:num w:numId="22">
    <w:abstractNumId w:val="25"/>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6A00"/>
    <w:rsid w:val="001105D3"/>
    <w:rsid w:val="00170D41"/>
    <w:rsid w:val="00195D20"/>
    <w:rsid w:val="002A32A6"/>
    <w:rsid w:val="003F6ABF"/>
    <w:rsid w:val="004048D0"/>
    <w:rsid w:val="00443031"/>
    <w:rsid w:val="004A0EEE"/>
    <w:rsid w:val="004D42C3"/>
    <w:rsid w:val="00542F2E"/>
    <w:rsid w:val="00630B6E"/>
    <w:rsid w:val="00633176"/>
    <w:rsid w:val="00684AD4"/>
    <w:rsid w:val="006F1DC8"/>
    <w:rsid w:val="00793610"/>
    <w:rsid w:val="00827569"/>
    <w:rsid w:val="00A079C9"/>
    <w:rsid w:val="00A41E9B"/>
    <w:rsid w:val="00A50F50"/>
    <w:rsid w:val="00A663C7"/>
    <w:rsid w:val="00A86AC7"/>
    <w:rsid w:val="00B316C5"/>
    <w:rsid w:val="00B90973"/>
    <w:rsid w:val="00BC4781"/>
    <w:rsid w:val="00C312FA"/>
    <w:rsid w:val="00C602B0"/>
    <w:rsid w:val="00D30E97"/>
    <w:rsid w:val="00E60E9B"/>
    <w:rsid w:val="00EA1F36"/>
    <w:rsid w:val="00EA2EEC"/>
    <w:rsid w:val="00ED6684"/>
    <w:rsid w:val="00EE473E"/>
    <w:rsid w:val="00F427F0"/>
    <w:rsid w:val="00F47D60"/>
    <w:rsid w:val="00F969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CAB27"/>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A41E9B"/>
    <w:pPr>
      <w:widowControl w:val="0"/>
      <w:autoSpaceDE w:val="0"/>
      <w:autoSpaceDN w:val="0"/>
      <w:adjustRightInd w:val="0"/>
      <w:spacing w:before="0" w:after="0" w:line="300" w:lineRule="exact"/>
    </w:pPr>
    <w:rPr>
      <w:rFonts w:ascii="Trebuchet MS" w:eastAsia="Times New Roman" w:hAnsi="Trebuchet MS"/>
      <w:i/>
      <w:color w:val="0000FF"/>
      <w:kern w:val="2"/>
      <w:sz w:val="20"/>
      <w:szCs w:val="24"/>
      <w:lang w:bidi="ar-SA"/>
    </w:rPr>
  </w:style>
  <w:style w:type="character" w:customStyle="1" w:styleId="CorsivobluCarattere">
    <w:name w:val="Corsivo blu Carattere"/>
    <w:link w:val="Corsivoblu"/>
    <w:rsid w:val="00A41E9B"/>
    <w:rPr>
      <w:rFonts w:ascii="Trebuchet MS" w:eastAsia="Times New Roman" w:hAnsi="Trebuchet MS" w:cs="Times New Roman"/>
      <w:i/>
      <w:color w:val="0000FF"/>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5A9C9-1F19-4C1C-8A36-122841247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21</Pages>
  <Words>6941</Words>
  <Characters>39567</Characters>
  <Application>Microsoft Office Word</Application>
  <DocSecurity>0</DocSecurity>
  <Lines>329</Lines>
  <Paragraphs>92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9</cp:revision>
  <cp:lastPrinted>2023-02-27T15:20:00Z</cp:lastPrinted>
  <dcterms:created xsi:type="dcterms:W3CDTF">2023-01-25T16:34:00Z</dcterms:created>
  <dcterms:modified xsi:type="dcterms:W3CDTF">2023-03-06T11:03:00Z</dcterms:modified>
</cp:coreProperties>
</file>

<file path=docProps/custom.xml><?xml version="1.0" encoding="utf-8"?>
<Properties xmlns="http://schemas.openxmlformats.org/officeDocument/2006/custom-properties" xmlns:vt="http://schemas.openxmlformats.org/officeDocument/2006/docPropsVTypes">
  <property fmtid="{46201484-F2A1-4B3B-AA90-D302FB4F9791}" pid="2" name="IDALFREF">
    <vt:lpwstr>workspace://SpacesStore/8f52e832-5a99-46d1-a275-c5436f0a30f4</vt:lpwstr>
  </property>
  <property fmtid="{F95ABAAD-87F4-4AFD-9A1F-E42441A6AAD9}" pid="3" name="ALFVersion">
    <vt:lpwstr>workspace://SpacesStore/5060a0a6-bb5a-4cf9-ab90-0209345927b1</vt:lpwstr>
  </property>
  <property fmtid="{D6CF5425-272C-4C44-B979-0F569483DF90}" pid="4" name="NomeTemplate">
    <vt:lpwstr>ALL20TTT</vt:lpwstr>
  </property>
  <property fmtid="{E3C50014-BCCE-4718-A5E3-B1EE7394B386}" pid="5" name="MajorVersion">
    <vt:lpwstr>3</vt:lpwstr>
  </property>
  <property fmtid="{58245965-A778-4731-9F65-1BBF10EDA04A}" pid="6" name="MinorVersion">
    <vt:lpwstr>3</vt:lpwstr>
  </property>
</Properties>
</file>