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D86D9F">
        <w:rPr>
          <w:rFonts w:ascii="Calibri" w:hAnsi="Calibri"/>
          <w:sz w:val="20"/>
          <w:szCs w:val="20"/>
        </w:rPr>
        <w:t>5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</w:t>
      </w:r>
      <w:r w:rsidR="00D02B2A" w:rsidRPr="00D86D9F">
        <w:rPr>
          <w:rFonts w:ascii="Calibri" w:hAnsi="Calibri" w:cs="Calibri"/>
          <w:sz w:val="20"/>
          <w:szCs w:val="20"/>
        </w:rPr>
        <w:t>Domicilio, Altre informazioni e Conflitto di interessi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D02B2A" w:rsidRPr="00D86D9F">
        <w:rPr>
          <w:rStyle w:val="BLOCKBOLD"/>
          <w:rFonts w:ascii="Calibri" w:hAnsi="Calibri"/>
          <w:u w:val="single"/>
        </w:rPr>
        <w:t>domicilio, ALTRE INFORMAZIONI E CONFLITTO DI INTERESSI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l’affidamento </w:t>
      </w:r>
      <w:r w:rsidR="00D86D9F" w:rsidRPr="00D86D9F">
        <w:rPr>
          <w:rStyle w:val="BLOCKBOLD"/>
          <w:rFonts w:ascii="Calibri" w:hAnsi="Calibri"/>
        </w:rPr>
        <w:t xml:space="preserve">di un Accordo Quadro per l’acquisizione di upgrade </w:t>
      </w:r>
      <w:r w:rsidR="00CE71FE">
        <w:rPr>
          <w:rStyle w:val="BLOCKBOLD"/>
          <w:rFonts w:ascii="Calibri" w:hAnsi="Calibri"/>
        </w:rPr>
        <w:t>agli switch Brocade Hitachi Vantara</w:t>
      </w:r>
      <w:r w:rsidR="00D86D9F" w:rsidRPr="00D86D9F">
        <w:rPr>
          <w:rStyle w:val="BLOCKBOLD"/>
          <w:rFonts w:ascii="Calibri" w:hAnsi="Calibri"/>
        </w:rPr>
        <w:t xml:space="preserve">, e dei relativi servizi di manutenzione e assistenza </w:t>
      </w:r>
      <w:proofErr w:type="gramStart"/>
      <w:r w:rsidR="00D86D9F" w:rsidRPr="00D86D9F">
        <w:rPr>
          <w:rStyle w:val="BLOCKBOLD"/>
          <w:rFonts w:ascii="Calibri" w:hAnsi="Calibri"/>
        </w:rPr>
        <w:t xml:space="preserve">per  </w:t>
      </w:r>
      <w:r w:rsidR="000075CB">
        <w:rPr>
          <w:rStyle w:val="BLOCKBOLD"/>
          <w:rFonts w:ascii="Calibri" w:hAnsi="Calibri"/>
        </w:rPr>
        <w:t>Sogei</w:t>
      </w:r>
      <w:proofErr w:type="gramEnd"/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:rsidR="006A7731" w:rsidRPr="004B3B48" w:rsidRDefault="006A7731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</w:p>
    <w:p w:rsidR="006A7731" w:rsidRPr="00D86D9F" w:rsidRDefault="006A7731" w:rsidP="006A7731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D86D9F">
        <w:rPr>
          <w:rFonts w:ascii="Calibri" w:hAnsi="Calibri"/>
          <w:szCs w:val="20"/>
        </w:rPr>
        <w:t xml:space="preserve">la </w:t>
      </w:r>
      <w:r w:rsidRPr="00D86D9F">
        <w:rPr>
          <w:rFonts w:ascii="Calibri" w:hAnsi="Calibri" w:cs="Trebuchet MS"/>
          <w:i/>
          <w:color w:val="0000FF"/>
          <w:szCs w:val="20"/>
        </w:rPr>
        <w:t>sussistenza/non sussistenza</w:t>
      </w:r>
      <w:r w:rsidRPr="00D86D9F">
        <w:rPr>
          <w:rFonts w:ascii="Calibri" w:hAnsi="Calibr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D86D9F">
        <w:rPr>
          <w:rStyle w:val="Rimandonotaapidipagina"/>
          <w:rFonts w:ascii="Calibri" w:hAnsi="Calibri"/>
          <w:szCs w:val="20"/>
        </w:rPr>
        <w:footnoteReference w:id="1"/>
      </w:r>
      <w:r w:rsidRPr="00D86D9F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6A7731" w:rsidRPr="00030527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86D9F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6A7731" w:rsidRPr="006A7731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A02C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A32" w:rsidRDefault="00DB7A32" w:rsidP="007F0195">
      <w:pPr>
        <w:spacing w:line="240" w:lineRule="auto"/>
      </w:pPr>
      <w:r>
        <w:separator/>
      </w:r>
    </w:p>
  </w:endnote>
  <w:endnote w:type="continuationSeparator" w:id="0">
    <w:p w:rsidR="00DB7A32" w:rsidRDefault="00DB7A32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C12" w:rsidRDefault="00A02C1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C12" w:rsidRDefault="00A02C12" w:rsidP="00A02C12">
    <w:pPr>
      <w:pStyle w:val="CLASSIFICAZIONEFOOTER6"/>
      <w:rPr>
        <w:szCs w:val="16"/>
      </w:rPr>
    </w:pPr>
    <w:r>
      <w:rPr>
        <w:szCs w:val="16"/>
      </w:rPr>
      <w:t xml:space="preserve">MODULI DI DICHIARAZIONE - ID 2667 Gara a procedura aperta ai sensi del </w:t>
    </w:r>
    <w:proofErr w:type="spellStart"/>
    <w:proofErr w:type="gramStart"/>
    <w:r>
      <w:rPr>
        <w:szCs w:val="16"/>
      </w:rPr>
      <w:t>D.Lgs</w:t>
    </w:r>
    <w:proofErr w:type="gramEnd"/>
    <w:r>
      <w:rPr>
        <w:szCs w:val="16"/>
      </w:rPr>
      <w:t>.</w:t>
    </w:r>
    <w:proofErr w:type="spellEnd"/>
    <w:r>
      <w:rPr>
        <w:szCs w:val="16"/>
      </w:rPr>
      <w:t xml:space="preserve"> 50/2016 e </w:t>
    </w:r>
    <w:proofErr w:type="spellStart"/>
    <w:r>
      <w:rPr>
        <w:szCs w:val="16"/>
      </w:rPr>
      <w:t>s.m.i.</w:t>
    </w:r>
    <w:proofErr w:type="spellEnd"/>
    <w:r>
      <w:rPr>
        <w:szCs w:val="16"/>
      </w:rPr>
      <w:t>, per</w:t>
    </w:r>
    <w:r>
      <w:rPr>
        <w:rStyle w:val="CorsivobluCarattere"/>
        <w:rFonts w:eastAsiaTheme="minorHAnsi"/>
        <w:szCs w:val="16"/>
      </w:rPr>
      <w:t xml:space="preserve"> </w:t>
    </w:r>
    <w:r>
      <w:rPr>
        <w:szCs w:val="16"/>
      </w:rPr>
      <w:t xml:space="preserve">l’affidamento di un Accordo Quadro per l’acquisizione di upgrade agli </w:t>
    </w:r>
    <w:proofErr w:type="spellStart"/>
    <w:r>
      <w:rPr>
        <w:szCs w:val="16"/>
      </w:rPr>
      <w:t>switch</w:t>
    </w:r>
    <w:proofErr w:type="spellEnd"/>
    <w:r>
      <w:rPr>
        <w:szCs w:val="16"/>
      </w:rPr>
      <w:t xml:space="preserve"> </w:t>
    </w:r>
    <w:proofErr w:type="spellStart"/>
    <w:r>
      <w:rPr>
        <w:szCs w:val="16"/>
      </w:rPr>
      <w:t>Brocade</w:t>
    </w:r>
    <w:proofErr w:type="spellEnd"/>
    <w:r>
      <w:rPr>
        <w:szCs w:val="16"/>
      </w:rPr>
      <w:t xml:space="preserve"> Hitachi </w:t>
    </w:r>
    <w:proofErr w:type="spellStart"/>
    <w:r>
      <w:rPr>
        <w:szCs w:val="16"/>
      </w:rPr>
      <w:t>Vantara</w:t>
    </w:r>
    <w:proofErr w:type="spellEnd"/>
    <w:r>
      <w:rPr>
        <w:szCs w:val="16"/>
      </w:rPr>
      <w:t xml:space="preserve">, e dei relativi servizi di manutenzione e assistenza per </w:t>
    </w:r>
    <w:proofErr w:type="spellStart"/>
    <w:r>
      <w:rPr>
        <w:szCs w:val="16"/>
      </w:rPr>
      <w:t>Sogei</w:t>
    </w:r>
    <w:proofErr w:type="spellEnd"/>
  </w:p>
  <w:bookmarkStart w:id="0" w:name="_GoBack"/>
  <w:bookmarkEnd w:id="0"/>
  <w:p w:rsidR="007F0195" w:rsidRPr="007F0195" w:rsidRDefault="007F0195" w:rsidP="00A02C12">
    <w:pPr>
      <w:pStyle w:val="CLASSIFICAZIONEFOOTER6"/>
    </w:pPr>
    <w:r>
      <w:fldChar w:fldCharType="begin"/>
    </w:r>
    <w:r>
      <w:instrText>PAGE   \* MERGEFORMAT</w:instrText>
    </w:r>
    <w:r>
      <w:fldChar w:fldCharType="separate"/>
    </w:r>
    <w:r w:rsidR="00A02C12">
      <w:rPr>
        <w:noProof/>
      </w:rPr>
      <w:t>1</w:t>
    </w:r>
    <w:r>
      <w:fldChar w:fldCharType="end"/>
    </w:r>
  </w:p>
  <w:p w:rsidR="00450DAF" w:rsidRPr="00AF2095" w:rsidRDefault="00A02C12" w:rsidP="007F019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C12" w:rsidRDefault="00A02C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A32" w:rsidRDefault="00DB7A32" w:rsidP="007F0195">
      <w:pPr>
        <w:spacing w:line="240" w:lineRule="auto"/>
      </w:pPr>
      <w:r>
        <w:separator/>
      </w:r>
    </w:p>
  </w:footnote>
  <w:footnote w:type="continuationSeparator" w:id="0">
    <w:p w:rsidR="00DB7A32" w:rsidRDefault="00DB7A32" w:rsidP="007F0195">
      <w:pPr>
        <w:spacing w:line="240" w:lineRule="auto"/>
      </w:pPr>
      <w:r>
        <w:continuationSeparator/>
      </w:r>
    </w:p>
  </w:footnote>
  <w:footnote w:id="1">
    <w:p w:rsidR="006A7731" w:rsidRPr="00030527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sottoscrive e pubblica il bando.</w:t>
      </w:r>
    </w:p>
    <w:p w:rsidR="006A7731" w:rsidRPr="001C51F2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6A7731" w:rsidRPr="00220FB5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6A7731" w:rsidRDefault="006A7731" w:rsidP="006A773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C12" w:rsidRDefault="00A02C1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A02C12" w:rsidP="00816101">
    <w:pPr>
      <w:pStyle w:val="Intestazione"/>
    </w:pPr>
  </w:p>
  <w:p w:rsidR="007307F1" w:rsidRDefault="00EE0C4C">
    <w:pPr>
      <w:pStyle w:val="TAGTECNICI"/>
    </w:pPr>
    <w:r>
      <w:t>ALL27TTT</w:t>
    </w:r>
  </w:p>
  <w:p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column">
            <wp:posOffset>-1544515</wp:posOffset>
          </wp:positionH>
          <wp:positionV relativeFrom="paragraph">
            <wp:posOffset>-582979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075CB"/>
    <w:rsid w:val="000752D2"/>
    <w:rsid w:val="000A20B6"/>
    <w:rsid w:val="00102E5B"/>
    <w:rsid w:val="001105D3"/>
    <w:rsid w:val="00150176"/>
    <w:rsid w:val="001B3982"/>
    <w:rsid w:val="002F16FB"/>
    <w:rsid w:val="003072AF"/>
    <w:rsid w:val="00311F42"/>
    <w:rsid w:val="00381E13"/>
    <w:rsid w:val="003D6D78"/>
    <w:rsid w:val="003F46D1"/>
    <w:rsid w:val="00466605"/>
    <w:rsid w:val="00471F57"/>
    <w:rsid w:val="00475ADD"/>
    <w:rsid w:val="00491D3C"/>
    <w:rsid w:val="00495282"/>
    <w:rsid w:val="004B3B48"/>
    <w:rsid w:val="005B2EE7"/>
    <w:rsid w:val="005D673F"/>
    <w:rsid w:val="006A7731"/>
    <w:rsid w:val="007307F1"/>
    <w:rsid w:val="007F0195"/>
    <w:rsid w:val="008576F9"/>
    <w:rsid w:val="00893118"/>
    <w:rsid w:val="008B7F03"/>
    <w:rsid w:val="009544BF"/>
    <w:rsid w:val="00971F8E"/>
    <w:rsid w:val="009D73C2"/>
    <w:rsid w:val="00A02C12"/>
    <w:rsid w:val="00A309A6"/>
    <w:rsid w:val="00A64B59"/>
    <w:rsid w:val="00AD0ED7"/>
    <w:rsid w:val="00B0646A"/>
    <w:rsid w:val="00B42C95"/>
    <w:rsid w:val="00BA5766"/>
    <w:rsid w:val="00C118DE"/>
    <w:rsid w:val="00C56018"/>
    <w:rsid w:val="00C915CE"/>
    <w:rsid w:val="00CA1740"/>
    <w:rsid w:val="00CD6DD6"/>
    <w:rsid w:val="00CE71FE"/>
    <w:rsid w:val="00D02B2A"/>
    <w:rsid w:val="00D05268"/>
    <w:rsid w:val="00D30F65"/>
    <w:rsid w:val="00D452D0"/>
    <w:rsid w:val="00D86D9F"/>
    <w:rsid w:val="00DB7A32"/>
    <w:rsid w:val="00E45A74"/>
    <w:rsid w:val="00E96764"/>
    <w:rsid w:val="00EE0C4C"/>
    <w:rsid w:val="00EF42CC"/>
    <w:rsid w:val="00F179B0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780883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Pititto Martina</cp:lastModifiedBy>
  <cp:revision>4</cp:revision>
  <dcterms:created xsi:type="dcterms:W3CDTF">2023-03-06T09:25:00Z</dcterms:created>
  <dcterms:modified xsi:type="dcterms:W3CDTF">2023-05-24T08:18:00Z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A1860A7A-C635-41A5-8EE8-EC4259AE04A0}" pid="2" name="IDALFREF">
    <vt:lpwstr>workspace://SpacesStore/a5287d3a-bc25-4623-bb57-f93c42404303</vt:lpwstr>
  </property>
  <property fmtid="{BC53BA5F-9C3F-4F9C-9503-41827E2B0B04}" pid="3" name="ALFVersion">
    <vt:lpwstr>workspace://SpacesStore/e7435fad-3846-4be1-8e81-d965b8114cea</vt:lpwstr>
  </property>
  <property fmtid="{39812EFB-D2FB-4B26-B948-22ED948ABE57}" pid="4" name="NomeTemplate">
    <vt:lpwstr>ALL27TTT</vt:lpwstr>
  </property>
  <property fmtid="{1013EEC3-2737-481B-B66C-DB862E1BB947}" pid="5" name="MajorVersion">
    <vt:lpwstr>3</vt:lpwstr>
  </property>
  <property fmtid="{89169E18-CE07-42D5-8422-A1803215AC5B}" pid="6" name="MinorVersion">
    <vt:lpwstr>3</vt:lpwstr>
  </property>
</Properties>
</file>