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CFDE6" w14:textId="0AA75248" w:rsidR="003F4F6E" w:rsidRPr="00BD242A" w:rsidRDefault="003F4F6E" w:rsidP="003F4F6E">
      <w:pPr>
        <w:spacing w:line="360" w:lineRule="auto"/>
        <w:rPr>
          <w:rFonts w:ascii="Calibri" w:hAnsi="Calibri"/>
          <w:b/>
          <w:bCs/>
          <w:caps/>
          <w:color w:val="0070C0"/>
          <w:sz w:val="20"/>
          <w:szCs w:val="20"/>
        </w:rPr>
      </w:pPr>
      <w:bookmarkStart w:id="0" w:name="_GoBack"/>
      <w:bookmarkEnd w:id="0"/>
      <w:r w:rsidRPr="00BD242A">
        <w:rPr>
          <w:rFonts w:ascii="Calibri" w:hAnsi="Calibri"/>
          <w:b/>
          <w:bCs/>
          <w:caps/>
          <w:color w:val="000000"/>
          <w:sz w:val="20"/>
          <w:szCs w:val="20"/>
        </w:rPr>
        <w:t xml:space="preserve">Classificazione del documento: </w:t>
      </w:r>
      <w:bookmarkStart w:id="1" w:name="BookmarkClassificazione"/>
      <w:bookmarkEnd w:id="1"/>
      <w:r w:rsidRPr="00BD242A">
        <w:rPr>
          <w:rFonts w:ascii="Calibri" w:hAnsi="Calibri"/>
          <w:b/>
          <w:bCs/>
          <w:caps/>
          <w:color w:val="000000"/>
          <w:sz w:val="20"/>
          <w:szCs w:val="20"/>
        </w:rPr>
        <w:t xml:space="preserve">Consip </w:t>
      </w:r>
      <w:r w:rsidR="007B0EBA">
        <w:rPr>
          <w:rFonts w:ascii="Calibri" w:hAnsi="Calibri"/>
          <w:b/>
          <w:bCs/>
          <w:caps/>
          <w:color w:val="000000"/>
          <w:sz w:val="20"/>
          <w:szCs w:val="20"/>
        </w:rPr>
        <w:t>public</w:t>
      </w:r>
    </w:p>
    <w:p w14:paraId="04358CDD" w14:textId="03781FC5" w:rsidR="003F4F6E" w:rsidRPr="00CC02C9" w:rsidRDefault="003F4F6E">
      <w:pPr>
        <w:rPr>
          <w:sz w:val="20"/>
          <w:szCs w:val="20"/>
        </w:rPr>
      </w:pPr>
      <w:bookmarkStart w:id="2" w:name="BookmarkData"/>
      <w:bookmarkEnd w:id="2"/>
    </w:p>
    <w:p w14:paraId="15699A35" w14:textId="477F9CC7" w:rsidR="00920036" w:rsidRPr="007B0EBA" w:rsidRDefault="00920036">
      <w:pPr>
        <w:rPr>
          <w:b/>
          <w:sz w:val="20"/>
          <w:szCs w:val="20"/>
        </w:rPr>
      </w:pPr>
      <w:r w:rsidRPr="007B0EBA">
        <w:rPr>
          <w:b/>
          <w:sz w:val="20"/>
          <w:szCs w:val="20"/>
        </w:rPr>
        <w:t>ALLEGATO</w:t>
      </w:r>
      <w:r w:rsidR="00F402BA" w:rsidRPr="007B0EBA">
        <w:rPr>
          <w:b/>
          <w:sz w:val="20"/>
          <w:szCs w:val="20"/>
        </w:rPr>
        <w:t xml:space="preserve"> </w:t>
      </w:r>
      <w:r w:rsidR="006E010F" w:rsidRPr="007B0EBA">
        <w:rPr>
          <w:b/>
          <w:sz w:val="20"/>
          <w:szCs w:val="20"/>
        </w:rPr>
        <w:t xml:space="preserve">8 </w:t>
      </w:r>
    </w:p>
    <w:p w14:paraId="0F4DA545" w14:textId="77777777" w:rsidR="00920036" w:rsidRPr="00CC02C9" w:rsidRDefault="00920036">
      <w:pPr>
        <w:rPr>
          <w:sz w:val="20"/>
          <w:szCs w:val="20"/>
        </w:rPr>
      </w:pPr>
    </w:p>
    <w:p w14:paraId="30C9FC84" w14:textId="60915BBE" w:rsidR="00920036" w:rsidRPr="00CC02C9" w:rsidRDefault="00920036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14:paraId="4FE9337C" w14:textId="77777777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14:paraId="40690C97" w14:textId="7166CC4B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. </w:t>
      </w:r>
    </w:p>
    <w:p w14:paraId="1914CFF4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4E7A87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DBF4E79" w14:textId="0ACA945A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3F324AD4" w14:textId="408D0857" w:rsidR="009A1402" w:rsidRPr="00CC02C9" w:rsidRDefault="004D50B2" w:rsidP="00805517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</w:p>
    <w:p w14:paraId="0E59EA38" w14:textId="29F2F436" w:rsidR="009A1402" w:rsidRPr="00CC02C9" w:rsidRDefault="004D50B2" w:rsidP="00805517">
      <w:pPr>
        <w:pStyle w:val="Paragrafoelenco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="009A1402" w:rsidRPr="00CC02C9">
        <w:rPr>
          <w:sz w:val="20"/>
          <w:szCs w:val="20"/>
        </w:rPr>
        <w:tab/>
        <w:t>Polizza R</w:t>
      </w:r>
      <w:r w:rsidR="001B62A3">
        <w:rPr>
          <w:sz w:val="20"/>
          <w:szCs w:val="20"/>
        </w:rPr>
        <w:t xml:space="preserve">C Professionale </w:t>
      </w:r>
      <w:r w:rsidR="009A1402" w:rsidRPr="00CC02C9">
        <w:rPr>
          <w:sz w:val="20"/>
          <w:szCs w:val="20"/>
        </w:rPr>
        <w:t xml:space="preserve"> </w:t>
      </w:r>
      <w:r w:rsidR="001B62A3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n.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="009A1402" w:rsidRPr="00CC02C9">
        <w:rPr>
          <w:sz w:val="20"/>
          <w:szCs w:val="20"/>
        </w:rPr>
        <w:t>Compagnia_________</w:t>
      </w:r>
      <w:r w:rsidR="002E5022">
        <w:rPr>
          <w:sz w:val="20"/>
          <w:szCs w:val="20"/>
        </w:rPr>
        <w:t>________</w:t>
      </w:r>
    </w:p>
    <w:p w14:paraId="2A7B11BB" w14:textId="7BB3DE03" w:rsidR="009A1402" w:rsidRPr="00CC02C9" w:rsidRDefault="009A1402" w:rsidP="004D50B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 w:rsidR="00D35E95" w:rsidRPr="00D35E95">
        <w:rPr>
          <w:rFonts w:asciiTheme="minorHAnsi" w:hAnsiTheme="minorHAnsi"/>
          <w:sz w:val="20"/>
          <w:szCs w:val="20"/>
        </w:rPr>
        <w:t xml:space="preserve">l’acquisizione di servizi </w:t>
      </w:r>
      <w:proofErr w:type="spellStart"/>
      <w:r w:rsidR="00D35E95">
        <w:rPr>
          <w:rFonts w:asciiTheme="minorHAnsi" w:hAnsiTheme="minorHAnsi"/>
          <w:sz w:val="20"/>
          <w:szCs w:val="20"/>
        </w:rPr>
        <w:t>C</w:t>
      </w:r>
      <w:r w:rsidR="00D35E95" w:rsidRPr="00D35E95">
        <w:rPr>
          <w:rFonts w:asciiTheme="minorHAnsi" w:hAnsiTheme="minorHAnsi"/>
          <w:sz w:val="20"/>
          <w:szCs w:val="20"/>
        </w:rPr>
        <w:t>loud</w:t>
      </w:r>
      <w:proofErr w:type="spellEnd"/>
      <w:r w:rsidR="00D35E95" w:rsidRPr="00D35E95">
        <w:rPr>
          <w:rFonts w:asciiTheme="minorHAnsi" w:hAnsiTheme="minorHAnsi"/>
          <w:sz w:val="20"/>
          <w:szCs w:val="20"/>
        </w:rPr>
        <w:t xml:space="preserve"> </w:t>
      </w:r>
      <w:r w:rsidR="00D35E95">
        <w:rPr>
          <w:rFonts w:asciiTheme="minorHAnsi" w:hAnsiTheme="minorHAnsi"/>
          <w:sz w:val="20"/>
          <w:szCs w:val="20"/>
        </w:rPr>
        <w:t>M</w:t>
      </w:r>
      <w:r w:rsidR="00D35E95" w:rsidRPr="00D35E95">
        <w:rPr>
          <w:rFonts w:asciiTheme="minorHAnsi" w:hAnsiTheme="minorHAnsi"/>
          <w:sz w:val="20"/>
          <w:szCs w:val="20"/>
        </w:rPr>
        <w:t xml:space="preserve">icrosoft </w:t>
      </w:r>
      <w:proofErr w:type="spellStart"/>
      <w:r w:rsidR="00D35E95">
        <w:rPr>
          <w:rFonts w:asciiTheme="minorHAnsi" w:hAnsiTheme="minorHAnsi"/>
          <w:sz w:val="20"/>
          <w:szCs w:val="20"/>
        </w:rPr>
        <w:t>A</w:t>
      </w:r>
      <w:r w:rsidR="00D35E95" w:rsidRPr="00D35E95">
        <w:rPr>
          <w:rFonts w:asciiTheme="minorHAnsi" w:hAnsiTheme="minorHAnsi"/>
          <w:sz w:val="20"/>
          <w:szCs w:val="20"/>
        </w:rPr>
        <w:t>zure</w:t>
      </w:r>
      <w:proofErr w:type="spellEnd"/>
      <w:r w:rsidR="00D35E95" w:rsidRPr="00D35E95">
        <w:rPr>
          <w:rFonts w:asciiTheme="minorHAnsi" w:hAnsiTheme="minorHAnsi"/>
          <w:sz w:val="20"/>
          <w:szCs w:val="20"/>
        </w:rPr>
        <w:t xml:space="preserve"> e servizi professionali connessi per </w:t>
      </w:r>
      <w:proofErr w:type="spellStart"/>
      <w:r w:rsidR="00D35E95">
        <w:rPr>
          <w:rFonts w:asciiTheme="minorHAnsi" w:hAnsiTheme="minorHAnsi"/>
          <w:sz w:val="20"/>
          <w:szCs w:val="20"/>
        </w:rPr>
        <w:t>I</w:t>
      </w:r>
      <w:r w:rsidR="00D35E95" w:rsidRPr="00D35E95">
        <w:rPr>
          <w:rFonts w:asciiTheme="minorHAnsi" w:hAnsiTheme="minorHAnsi"/>
          <w:sz w:val="20"/>
          <w:szCs w:val="20"/>
        </w:rPr>
        <w:t>nail</w:t>
      </w:r>
      <w:proofErr w:type="spellEnd"/>
      <w:r w:rsidR="00D35E95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stipulat</w:t>
      </w:r>
      <w:r w:rsidR="002E5022">
        <w:rPr>
          <w:rFonts w:asciiTheme="minorHAnsi" w:hAnsiTheme="minorHAnsi"/>
          <w:sz w:val="20"/>
          <w:szCs w:val="20"/>
        </w:rPr>
        <w:t>a</w:t>
      </w:r>
      <w:r w:rsidRPr="00CC02C9">
        <w:rPr>
          <w:rFonts w:asciiTheme="minorHAnsi" w:hAnsiTheme="minorHAnsi"/>
          <w:sz w:val="20"/>
          <w:szCs w:val="20"/>
        </w:rPr>
        <w:t xml:space="preserve">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5D9D054A" w14:textId="2C40CB82" w:rsidR="00BB6088" w:rsidRPr="00CC02C9" w:rsidRDefault="00BF29DD" w:rsidP="00BF29DD">
      <w:pPr>
        <w:pStyle w:val="Testocommento"/>
        <w:ind w:left="2832" w:hanging="2830"/>
        <w:rPr>
          <w:rFonts w:eastAsia="Times New Roman" w:cs="Trebuchet MS"/>
          <w:i/>
          <w:color w:val="0B4CB5"/>
          <w:lang w:eastAsia="it-IT"/>
        </w:rPr>
      </w:pPr>
      <w:r>
        <w:rPr>
          <w:b/>
        </w:rPr>
        <w:t>COMMITTENTE</w:t>
      </w:r>
      <w:r>
        <w:rPr>
          <w:b/>
        </w:rPr>
        <w:tab/>
      </w:r>
      <w:r w:rsidR="001B62A3">
        <w:t>INAIL</w:t>
      </w:r>
      <w:r w:rsidR="007D3CBD" w:rsidRPr="007D3CBD">
        <w:t xml:space="preserve"> – Direzione Centrale per l’Organizzazione Digitale - </w:t>
      </w:r>
      <w:proofErr w:type="spellStart"/>
      <w:r w:rsidR="007D3CBD" w:rsidRPr="007D3CBD">
        <w:t>Pec</w:t>
      </w:r>
      <w:proofErr w:type="spellEnd"/>
      <w:r w:rsidR="007D3CBD" w:rsidRPr="007D3CBD">
        <w:t>: dcod@postacert.inail.it, indirizzo postale: Via Santuario Regina degli Apostoli n. 33 – 00145 Roma.</w:t>
      </w:r>
    </w:p>
    <w:p w14:paraId="33642603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24131F34" w14:textId="05CC0861" w:rsidR="003B7E15" w:rsidRPr="00CC02C9" w:rsidRDefault="00920036" w:rsidP="002E5022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</w:p>
    <w:p w14:paraId="0CA0C6C4" w14:textId="77777777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nonché subfornitori e subappaltatori.</w:t>
      </w:r>
    </w:p>
    <w:p w14:paraId="0EF5FB83" w14:textId="77777777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CC02C9" w:rsidRDefault="003B7E15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781A51FC" w14:textId="2BF83C61" w:rsidR="003B7E15" w:rsidRPr="00CC02C9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2C1533" w:rsidRPr="00CC02C9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2C87C427" w14:textId="6CC3C9A2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141A4" w:rsidRPr="00CC02C9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>fosse</w:t>
      </w:r>
      <w:r w:rsidR="004D50B2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>chiamat</w:t>
      </w:r>
      <w:r w:rsidR="001B62A3">
        <w:rPr>
          <w:sz w:val="20"/>
          <w:szCs w:val="20"/>
        </w:rPr>
        <w:t>a</w:t>
      </w:r>
      <w:r w:rsidR="00F402BA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 xml:space="preserve">a rispondere per evento dannoso ascrivibile per legge all’Assicurato, è data a </w:t>
      </w:r>
      <w:r w:rsidR="00F402BA" w:rsidRPr="00CC02C9">
        <w:rPr>
          <w:sz w:val="20"/>
          <w:szCs w:val="20"/>
        </w:rPr>
        <w:t>queste</w:t>
      </w:r>
      <w:r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2617C652" w14:textId="5EF05A42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="009C3938">
        <w:rPr>
          <w:sz w:val="20"/>
          <w:szCs w:val="20"/>
        </w:rPr>
        <w:t xml:space="preserve"> 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 xml:space="preserve">di ogni modifica contrattuale in senso peggiorativo delle clausole previste dal presente documento, </w:t>
      </w:r>
      <w:r w:rsidRPr="00CC02C9">
        <w:rPr>
          <w:sz w:val="20"/>
          <w:szCs w:val="20"/>
        </w:rPr>
        <w:lastRenderedPageBreak/>
        <w:t>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7CE4D890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254F5A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2C6104C3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6D766BAD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5883D36" w14:textId="26B7493D"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57AB1CF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7B5FCCBA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677C6AC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0D99F0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763C7" w14:textId="60213751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>
        <w:rPr>
          <w:sz w:val="20"/>
          <w:szCs w:val="20"/>
        </w:rPr>
        <w:t xml:space="preserve">oggetto dell’appalto </w:t>
      </w:r>
      <w:r w:rsidRPr="00CC02C9">
        <w:rPr>
          <w:sz w:val="20"/>
          <w:szCs w:val="20"/>
        </w:rPr>
        <w:t>(comprese le complementari, accessorie, connesse e collegate)</w:t>
      </w:r>
      <w:r w:rsidR="00340C41">
        <w:rPr>
          <w:sz w:val="20"/>
          <w:szCs w:val="20"/>
        </w:rPr>
        <w:t xml:space="preserve"> </w:t>
      </w:r>
      <w:r w:rsidR="00340C41" w:rsidRPr="00CC02C9">
        <w:rPr>
          <w:sz w:val="20"/>
          <w:szCs w:val="20"/>
        </w:rPr>
        <w:t>svolta</w:t>
      </w:r>
      <w:r w:rsidR="00340C41">
        <w:rPr>
          <w:sz w:val="20"/>
          <w:szCs w:val="20"/>
        </w:rPr>
        <w:t xml:space="preserve"> anche presso terzi</w:t>
      </w:r>
      <w:r w:rsidRPr="00CC02C9">
        <w:rPr>
          <w:sz w:val="20"/>
          <w:szCs w:val="20"/>
        </w:rPr>
        <w:t xml:space="preserve">. </w:t>
      </w:r>
    </w:p>
    <w:p w14:paraId="221BB01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B3F6AA7" w14:textId="666F7260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6AEB4BA7" w14:textId="77777777" w:rsidR="00CC02C9" w:rsidRPr="00BD242A" w:rsidRDefault="002C1533" w:rsidP="00BD242A">
      <w:pPr>
        <w:pStyle w:val="Paragrafoelenco"/>
        <w:jc w:val="both"/>
      </w:pPr>
      <w:r w:rsidRPr="00CC02C9">
        <w:rPr>
          <w:sz w:val="20"/>
          <w:szCs w:val="20"/>
        </w:rPr>
        <w:t>€ 3.000.000 per sinistro/anno</w:t>
      </w:r>
      <w:r w:rsidR="00CC02C9" w:rsidRPr="00CC02C9">
        <w:rPr>
          <w:sz w:val="20"/>
          <w:szCs w:val="20"/>
        </w:rPr>
        <w:t xml:space="preserve"> </w:t>
      </w:r>
    </w:p>
    <w:p w14:paraId="5FC22E57" w14:textId="77777777" w:rsidR="00CC02C9" w:rsidRPr="00CC02C9" w:rsidRDefault="00CC02C9" w:rsidP="00F45BEF">
      <w:pPr>
        <w:pStyle w:val="Paragrafoelenco"/>
        <w:jc w:val="both"/>
        <w:rPr>
          <w:sz w:val="20"/>
          <w:szCs w:val="20"/>
        </w:rPr>
      </w:pPr>
    </w:p>
    <w:p w14:paraId="2CF90A2B" w14:textId="6B4673E8"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14:paraId="26AEE437" w14:textId="02251EEF" w:rsidR="00340C41" w:rsidRDefault="00956B95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5A2369BE" w14:textId="64A1EC8E" w:rsidR="001B62A3" w:rsidRPr="001B62A3" w:rsidRDefault="001B62A3" w:rsidP="001B62A3">
      <w:pPr>
        <w:pStyle w:val="Paragrafoelenco"/>
        <w:rPr>
          <w:sz w:val="20"/>
          <w:szCs w:val="20"/>
        </w:rPr>
      </w:pPr>
      <w:r>
        <w:rPr>
          <w:sz w:val="20"/>
          <w:szCs w:val="20"/>
        </w:rPr>
        <w:t>a</w:t>
      </w:r>
      <w:r w:rsidRPr="001B62A3">
        <w:rPr>
          <w:sz w:val="20"/>
          <w:szCs w:val="20"/>
        </w:rPr>
        <w:t>) Danni conseguenziali e da interruzione di esercizio con un limite minimo assicurato pari al 10% del massimale di polizza;</w:t>
      </w:r>
    </w:p>
    <w:p w14:paraId="1B9C8547" w14:textId="2605368E" w:rsidR="001B62A3" w:rsidRPr="001B62A3" w:rsidRDefault="001B62A3" w:rsidP="001B62A3">
      <w:pPr>
        <w:pStyle w:val="Paragrafoelenco"/>
        <w:rPr>
          <w:sz w:val="20"/>
          <w:szCs w:val="20"/>
        </w:rPr>
      </w:pPr>
      <w:r>
        <w:rPr>
          <w:sz w:val="20"/>
          <w:szCs w:val="20"/>
        </w:rPr>
        <w:t>b</w:t>
      </w:r>
      <w:r w:rsidRPr="001B62A3">
        <w:rPr>
          <w:sz w:val="20"/>
          <w:szCs w:val="20"/>
        </w:rPr>
        <w:t>) Danni a terzi da incendio delle cose di proprietà dell’Assicurato con un limite minimo assicurato pari al 10% del massimale di polizza;</w:t>
      </w:r>
    </w:p>
    <w:p w14:paraId="5EB1B3CE" w14:textId="2B637736" w:rsidR="001B62A3" w:rsidRPr="001B62A3" w:rsidRDefault="001B62A3" w:rsidP="001B62A3">
      <w:pPr>
        <w:pStyle w:val="Paragrafoelenco"/>
        <w:rPr>
          <w:sz w:val="20"/>
          <w:szCs w:val="20"/>
        </w:rPr>
      </w:pPr>
      <w:r>
        <w:rPr>
          <w:sz w:val="20"/>
          <w:szCs w:val="20"/>
        </w:rPr>
        <w:t>c</w:t>
      </w:r>
      <w:r w:rsidRPr="001B62A3">
        <w:rPr>
          <w:sz w:val="20"/>
          <w:szCs w:val="20"/>
        </w:rPr>
        <w:t>) Danni agli impianti e/o macchinari oggetto dei lavori con un limite minimo assicurato pari al 10% del massimale di polizza</w:t>
      </w:r>
    </w:p>
    <w:p w14:paraId="624BDCD2" w14:textId="55BE62A4" w:rsidR="001B62A3" w:rsidRPr="001B62A3" w:rsidRDefault="001B62A3" w:rsidP="001B62A3">
      <w:pPr>
        <w:pStyle w:val="Paragrafoelenco"/>
        <w:rPr>
          <w:sz w:val="20"/>
          <w:szCs w:val="20"/>
        </w:rPr>
      </w:pPr>
      <w:r>
        <w:rPr>
          <w:sz w:val="20"/>
          <w:szCs w:val="20"/>
        </w:rPr>
        <w:t>d</w:t>
      </w:r>
      <w:r w:rsidRPr="001B62A3">
        <w:rPr>
          <w:sz w:val="20"/>
          <w:szCs w:val="20"/>
        </w:rPr>
        <w:t>) Danni a cose di terzi che si trovano nell’ambito dei lavori con un limite minimo assicurato pari al 10% del massimale di polizza.</w:t>
      </w:r>
    </w:p>
    <w:p w14:paraId="351817F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85C4348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068E183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443E7F3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50A31264" w:rsidR="001E4E41" w:rsidRDefault="001E4E41" w:rsidP="00F45BEF">
      <w:pPr>
        <w:pStyle w:val="Paragrafoelenco"/>
        <w:jc w:val="both"/>
        <w:rPr>
          <w:sz w:val="20"/>
          <w:szCs w:val="20"/>
        </w:rPr>
      </w:pPr>
    </w:p>
    <w:p w14:paraId="1B056737" w14:textId="77777777" w:rsidR="006952EE" w:rsidRPr="00CC02C9" w:rsidRDefault="006952EE" w:rsidP="00F45BEF">
      <w:pPr>
        <w:pStyle w:val="Paragrafoelenco"/>
        <w:jc w:val="both"/>
        <w:rPr>
          <w:sz w:val="20"/>
          <w:szCs w:val="20"/>
        </w:rPr>
      </w:pPr>
    </w:p>
    <w:p w14:paraId="7DEF3BFD" w14:textId="505A147B" w:rsidR="001E4E41" w:rsidRPr="00BD242A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</w:p>
    <w:p w14:paraId="5DDD5BF5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F83855C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539FF2C3" w14:textId="7C060184" w:rsidR="00F2389A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3A31029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0CA93F7A" w14:textId="7553F7D0" w:rsidR="00061299" w:rsidRDefault="00061299" w:rsidP="00F45BEF">
      <w:pPr>
        <w:pStyle w:val="Paragrafoelenco"/>
        <w:jc w:val="both"/>
        <w:rPr>
          <w:sz w:val="20"/>
          <w:szCs w:val="20"/>
        </w:rPr>
      </w:pPr>
    </w:p>
    <w:p w14:paraId="3156DB27" w14:textId="6C2232EB" w:rsidR="002E5022" w:rsidRDefault="002E5022" w:rsidP="00F45BEF">
      <w:pPr>
        <w:pStyle w:val="Paragrafoelenco"/>
        <w:jc w:val="both"/>
        <w:rPr>
          <w:sz w:val="20"/>
          <w:szCs w:val="20"/>
        </w:rPr>
      </w:pPr>
    </w:p>
    <w:p w14:paraId="770853B5" w14:textId="40932BAF" w:rsidR="002E5022" w:rsidRDefault="002E5022" w:rsidP="00F45BEF">
      <w:pPr>
        <w:pStyle w:val="Paragrafoelenco"/>
        <w:jc w:val="both"/>
        <w:rPr>
          <w:sz w:val="20"/>
          <w:szCs w:val="20"/>
        </w:rPr>
      </w:pPr>
    </w:p>
    <w:p w14:paraId="68FFC046" w14:textId="2F7AD76C" w:rsidR="002E5022" w:rsidRDefault="002E5022" w:rsidP="00F45BEF">
      <w:pPr>
        <w:pStyle w:val="Paragrafoelenco"/>
        <w:jc w:val="both"/>
        <w:rPr>
          <w:sz w:val="20"/>
          <w:szCs w:val="20"/>
        </w:rPr>
      </w:pPr>
    </w:p>
    <w:p w14:paraId="16A7129E" w14:textId="77777777" w:rsidR="002E5022" w:rsidRDefault="002E5022" w:rsidP="00F45BEF">
      <w:pPr>
        <w:pStyle w:val="Paragrafoelenco"/>
        <w:jc w:val="both"/>
        <w:rPr>
          <w:sz w:val="20"/>
          <w:szCs w:val="20"/>
        </w:rPr>
      </w:pPr>
    </w:p>
    <w:p w14:paraId="6D4869DF" w14:textId="77777777" w:rsidR="002E5022" w:rsidRPr="00CC02C9" w:rsidRDefault="002E5022" w:rsidP="00F45BEF">
      <w:pPr>
        <w:pStyle w:val="Paragrafoelenco"/>
        <w:jc w:val="both"/>
        <w:rPr>
          <w:sz w:val="20"/>
          <w:szCs w:val="20"/>
        </w:rPr>
      </w:pPr>
    </w:p>
    <w:p w14:paraId="5E0E7C32" w14:textId="77777777" w:rsidR="001E4E41" w:rsidRPr="00553234" w:rsidRDefault="001E4E41" w:rsidP="00061299">
      <w:pPr>
        <w:pStyle w:val="Paragrafoelenco"/>
        <w:jc w:val="both"/>
        <w:rPr>
          <w:i/>
          <w:sz w:val="20"/>
          <w:szCs w:val="20"/>
        </w:rPr>
      </w:pPr>
    </w:p>
    <w:p w14:paraId="2DB10214" w14:textId="77777777" w:rsidR="004E4BAB" w:rsidRPr="00CC02C9" w:rsidRDefault="004E4BAB" w:rsidP="004E4BAB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lastRenderedPageBreak/>
        <w:t>POLIZZA RESPONSABILITA’ CIVILE PROFESSIONALE</w:t>
      </w:r>
    </w:p>
    <w:p w14:paraId="7AA98983" w14:textId="77777777" w:rsidR="004E4BAB" w:rsidRPr="00CC02C9" w:rsidRDefault="004E4BAB" w:rsidP="004E4BAB">
      <w:pPr>
        <w:pStyle w:val="Paragrafoelenco"/>
        <w:jc w:val="both"/>
        <w:rPr>
          <w:sz w:val="20"/>
          <w:szCs w:val="20"/>
          <w:u w:val="single"/>
        </w:rPr>
      </w:pPr>
    </w:p>
    <w:p w14:paraId="550D5508" w14:textId="77777777" w:rsidR="004E4BAB" w:rsidRPr="00CC02C9" w:rsidRDefault="004E4BAB" w:rsidP="004E4BAB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7B840A37" w14:textId="77777777" w:rsidR="004E4BAB" w:rsidRPr="00CC02C9" w:rsidRDefault="004E4BAB" w:rsidP="004E4BAB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1388D8EB" w14:textId="77777777" w:rsidR="004E4BAB" w:rsidRPr="00CC02C9" w:rsidRDefault="004E4BAB" w:rsidP="004E4BAB">
      <w:pPr>
        <w:pStyle w:val="Paragrafoelenco"/>
        <w:jc w:val="both"/>
        <w:rPr>
          <w:b/>
          <w:sz w:val="20"/>
          <w:szCs w:val="20"/>
        </w:rPr>
      </w:pPr>
    </w:p>
    <w:p w14:paraId="03F66972" w14:textId="5DBE82E6" w:rsidR="004E4BAB" w:rsidRPr="00CC02C9" w:rsidRDefault="004E4BAB" w:rsidP="004E4BAB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>
        <w:rPr>
          <w:b/>
          <w:sz w:val="20"/>
          <w:szCs w:val="20"/>
        </w:rPr>
        <w:t xml:space="preserve"> </w:t>
      </w:r>
    </w:p>
    <w:p w14:paraId="1F37E520" w14:textId="77777777" w:rsidR="004E4BAB" w:rsidRDefault="004E4BAB" w:rsidP="004E4BAB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3E5DC4A2" w14:textId="77777777" w:rsidR="004E4BAB" w:rsidRPr="00CC02C9" w:rsidRDefault="004E4BAB" w:rsidP="004E4BAB">
      <w:pPr>
        <w:pStyle w:val="Paragrafoelenco"/>
        <w:jc w:val="both"/>
        <w:rPr>
          <w:sz w:val="20"/>
          <w:szCs w:val="20"/>
        </w:rPr>
      </w:pPr>
    </w:p>
    <w:p w14:paraId="2E4D43AF" w14:textId="73813E42" w:rsidR="004E4BAB" w:rsidRDefault="004E4BAB" w:rsidP="004E4BAB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14:paraId="652A5954" w14:textId="77777777" w:rsidR="004E4BAB" w:rsidRPr="00D63B91" w:rsidRDefault="004E4BAB" w:rsidP="004E4BAB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983EE5">
        <w:rPr>
          <w:sz w:val="20"/>
          <w:szCs w:val="20"/>
        </w:rPr>
        <w:t>L’Assicurazione comprende anche:</w:t>
      </w:r>
    </w:p>
    <w:p w14:paraId="24B1D3AB" w14:textId="77777777" w:rsidR="004E4BAB" w:rsidRPr="00CC02C9" w:rsidRDefault="004E4BAB" w:rsidP="004E4BAB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</w:t>
      </w:r>
      <w:r>
        <w:rPr>
          <w:sz w:val="20"/>
          <w:szCs w:val="20"/>
        </w:rPr>
        <w:t>le perdite patrimoniali conseguenti a d</w:t>
      </w:r>
      <w:r w:rsidRPr="00CC02C9">
        <w:rPr>
          <w:sz w:val="20"/>
          <w:szCs w:val="20"/>
        </w:rPr>
        <w:t xml:space="preserve">anni </w:t>
      </w:r>
      <w:r>
        <w:rPr>
          <w:sz w:val="20"/>
          <w:szCs w:val="20"/>
        </w:rPr>
        <w:t xml:space="preserve">materiali e diretti- compresi quelli alle cose sulle quali si eseguono i lavori </w:t>
      </w:r>
      <w:r w:rsidRPr="00CC02C9">
        <w:rPr>
          <w:sz w:val="20"/>
          <w:szCs w:val="20"/>
        </w:rPr>
        <w:t>con un limite minimo assicurato pari al 10% del massimale di polizza;</w:t>
      </w:r>
    </w:p>
    <w:p w14:paraId="55120D07" w14:textId="77777777" w:rsidR="004E4BAB" w:rsidRDefault="004E4BAB" w:rsidP="004E4BAB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consequenziali e da interruzione del servizio con un limite minimo assicurato pari al 10% de</w:t>
      </w:r>
      <w:r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massimale di polizza;</w:t>
      </w:r>
    </w:p>
    <w:p w14:paraId="308AB171" w14:textId="77777777" w:rsidR="004E4BAB" w:rsidRDefault="004E4BAB" w:rsidP="004E4BAB">
      <w:pPr>
        <w:pStyle w:val="Paragrafoelenco"/>
        <w:jc w:val="both"/>
        <w:rPr>
          <w:sz w:val="20"/>
          <w:szCs w:val="20"/>
          <w:highlight w:val="yellow"/>
        </w:rPr>
      </w:pPr>
      <w:r w:rsidRPr="00983EE5">
        <w:rPr>
          <w:sz w:val="20"/>
          <w:szCs w:val="20"/>
        </w:rPr>
        <w:t>c)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6EBEBA77" w14:textId="77777777" w:rsidR="004E4BAB" w:rsidRPr="00CC02C9" w:rsidRDefault="004E4BAB" w:rsidP="004E4BAB">
      <w:pPr>
        <w:pStyle w:val="Paragrafoelenco"/>
        <w:jc w:val="both"/>
        <w:rPr>
          <w:sz w:val="20"/>
          <w:szCs w:val="20"/>
        </w:rPr>
      </w:pPr>
    </w:p>
    <w:p w14:paraId="26046962" w14:textId="77777777" w:rsidR="004E4BAB" w:rsidRPr="00CC02C9" w:rsidRDefault="004E4BAB" w:rsidP="004E4BAB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124B9BB6" w14:textId="3FCC5445" w:rsidR="004E4BAB" w:rsidRPr="00CC02C9" w:rsidRDefault="004E4BAB" w:rsidP="004E4BAB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 xml:space="preserve">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79A1570D" w14:textId="77777777" w:rsidR="004E4BAB" w:rsidRDefault="004E4BAB" w:rsidP="004E4BAB">
      <w:pPr>
        <w:pStyle w:val="Testocommento"/>
        <w:ind w:left="709"/>
        <w:jc w:val="both"/>
      </w:pPr>
      <w:r w:rsidRPr="00A63C6C">
        <w:rPr>
          <w:u w:val="single"/>
        </w:rPr>
        <w:t>In caso di polizza con tacito rinnovo</w:t>
      </w:r>
      <w:r>
        <w:t xml:space="preserve"> dovrà essere richiamata la seguente clausola:</w:t>
      </w:r>
    </w:p>
    <w:p w14:paraId="3D9587EE" w14:textId="67279A28" w:rsidR="004E4BAB" w:rsidRDefault="004E4BAB" w:rsidP="004E4BAB">
      <w:pPr>
        <w:pStyle w:val="Testocommento"/>
        <w:ind w:left="709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</w:t>
      </w:r>
      <w:proofErr w:type="spellStart"/>
      <w:r>
        <w:t>cosi’</w:t>
      </w:r>
      <w:proofErr w:type="spellEnd"/>
      <w:r>
        <w:t xml:space="preserve"> come la Contraente si rifiutasse di rinnovare la polizza, e </w:t>
      </w:r>
      <w:proofErr w:type="spellStart"/>
      <w:r>
        <w:t>semprechè</w:t>
      </w:r>
      <w:proofErr w:type="spellEnd"/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proofErr w:type="spellStart"/>
      <w:r>
        <w:t>purchè</w:t>
      </w:r>
      <w:proofErr w:type="spellEnd"/>
      <w:r>
        <w:t xml:space="preserve"> tale richiesta sia conseguente  ad un atto illecito professionale commesso prima di tale periodo di estensione.</w:t>
      </w:r>
    </w:p>
    <w:p w14:paraId="6CBF81AC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6952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F8728" w14:textId="77777777" w:rsidR="0003322D" w:rsidRDefault="0003322D" w:rsidP="003B7E15">
      <w:pPr>
        <w:spacing w:after="0" w:line="240" w:lineRule="auto"/>
      </w:pPr>
      <w:r>
        <w:separator/>
      </w:r>
    </w:p>
  </w:endnote>
  <w:endnote w:type="continuationSeparator" w:id="0">
    <w:p w14:paraId="14378B90" w14:textId="77777777" w:rsidR="0003322D" w:rsidRDefault="0003322D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2230D" w14:textId="77777777" w:rsidR="00AE2D20" w:rsidRDefault="00AE2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CB876" w14:textId="29496B73" w:rsidR="00553234" w:rsidRPr="00B845CC" w:rsidRDefault="00B845CC">
    <w:pPr>
      <w:pStyle w:val="Pidipagina"/>
      <w:rPr>
        <w:color w:val="D9D9D9" w:themeColor="background1" w:themeShade="D9"/>
      </w:rPr>
    </w:pPr>
    <w:r w:rsidRPr="00B845CC">
      <w:rPr>
        <w:color w:val="D9D9D9" w:themeColor="background1" w:themeShade="D9"/>
      </w:rPr>
      <w:t>Edizione 04 maggio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EAAAB" w14:textId="77777777" w:rsidR="00AE2D20" w:rsidRDefault="00AE2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E83A0" w14:textId="77777777" w:rsidR="0003322D" w:rsidRDefault="0003322D" w:rsidP="003B7E15">
      <w:pPr>
        <w:spacing w:after="0" w:line="240" w:lineRule="auto"/>
      </w:pPr>
      <w:r>
        <w:separator/>
      </w:r>
    </w:p>
  </w:footnote>
  <w:footnote w:type="continuationSeparator" w:id="0">
    <w:p w14:paraId="503F43B0" w14:textId="77777777" w:rsidR="0003322D" w:rsidRDefault="0003322D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01CCE" w14:textId="77777777" w:rsidR="00AE2D20" w:rsidRDefault="00AE2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5B5E4" w14:textId="77777777" w:rsidR="00AE2D20" w:rsidRDefault="00AE2D2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62BB7" w14:textId="77777777" w:rsidR="00AE2D20" w:rsidRDefault="00AE2D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3322D"/>
    <w:rsid w:val="00061299"/>
    <w:rsid w:val="00121AFC"/>
    <w:rsid w:val="00183546"/>
    <w:rsid w:val="001A62FA"/>
    <w:rsid w:val="001B62A3"/>
    <w:rsid w:val="001D3BC0"/>
    <w:rsid w:val="001E4E41"/>
    <w:rsid w:val="00220072"/>
    <w:rsid w:val="00246A9E"/>
    <w:rsid w:val="00285B28"/>
    <w:rsid w:val="002C1533"/>
    <w:rsid w:val="002E5022"/>
    <w:rsid w:val="00336749"/>
    <w:rsid w:val="00340C41"/>
    <w:rsid w:val="003B0399"/>
    <w:rsid w:val="003B12CD"/>
    <w:rsid w:val="003B7E15"/>
    <w:rsid w:val="003F4F6E"/>
    <w:rsid w:val="0040693A"/>
    <w:rsid w:val="0046269F"/>
    <w:rsid w:val="004658BF"/>
    <w:rsid w:val="004B416E"/>
    <w:rsid w:val="004B778E"/>
    <w:rsid w:val="004D50B2"/>
    <w:rsid w:val="004E4BAB"/>
    <w:rsid w:val="004F508B"/>
    <w:rsid w:val="005318CA"/>
    <w:rsid w:val="00553234"/>
    <w:rsid w:val="005622E2"/>
    <w:rsid w:val="005B2E4F"/>
    <w:rsid w:val="005D2335"/>
    <w:rsid w:val="00606C95"/>
    <w:rsid w:val="00665E00"/>
    <w:rsid w:val="006952EE"/>
    <w:rsid w:val="006A1DF7"/>
    <w:rsid w:val="006C75E2"/>
    <w:rsid w:val="006E010F"/>
    <w:rsid w:val="0071399E"/>
    <w:rsid w:val="0075428D"/>
    <w:rsid w:val="00774579"/>
    <w:rsid w:val="007B0EBA"/>
    <w:rsid w:val="007B457C"/>
    <w:rsid w:val="007B6E93"/>
    <w:rsid w:val="007C1AC9"/>
    <w:rsid w:val="007D3CBD"/>
    <w:rsid w:val="007E18F1"/>
    <w:rsid w:val="00805517"/>
    <w:rsid w:val="00841A2F"/>
    <w:rsid w:val="008C2CCC"/>
    <w:rsid w:val="00920036"/>
    <w:rsid w:val="00956B95"/>
    <w:rsid w:val="00983EE5"/>
    <w:rsid w:val="0099224D"/>
    <w:rsid w:val="009A1402"/>
    <w:rsid w:val="009B61DE"/>
    <w:rsid w:val="009C3938"/>
    <w:rsid w:val="009C42CC"/>
    <w:rsid w:val="00A141A4"/>
    <w:rsid w:val="00A23A9B"/>
    <w:rsid w:val="00A45CF7"/>
    <w:rsid w:val="00A5101E"/>
    <w:rsid w:val="00A63C6C"/>
    <w:rsid w:val="00A753B7"/>
    <w:rsid w:val="00A91772"/>
    <w:rsid w:val="00AE20AF"/>
    <w:rsid w:val="00AE2D20"/>
    <w:rsid w:val="00B13564"/>
    <w:rsid w:val="00B2622F"/>
    <w:rsid w:val="00B36B89"/>
    <w:rsid w:val="00B84401"/>
    <w:rsid w:val="00B845CC"/>
    <w:rsid w:val="00B96C45"/>
    <w:rsid w:val="00BB6088"/>
    <w:rsid w:val="00BD242A"/>
    <w:rsid w:val="00BF29DD"/>
    <w:rsid w:val="00C36880"/>
    <w:rsid w:val="00C545B2"/>
    <w:rsid w:val="00C869B4"/>
    <w:rsid w:val="00C965DB"/>
    <w:rsid w:val="00CA4E68"/>
    <w:rsid w:val="00CB46D7"/>
    <w:rsid w:val="00CC02C9"/>
    <w:rsid w:val="00CF7FC5"/>
    <w:rsid w:val="00D2321E"/>
    <w:rsid w:val="00D35E95"/>
    <w:rsid w:val="00D405F5"/>
    <w:rsid w:val="00D4222A"/>
    <w:rsid w:val="00D6206D"/>
    <w:rsid w:val="00D63B91"/>
    <w:rsid w:val="00E02AB7"/>
    <w:rsid w:val="00E41BC6"/>
    <w:rsid w:val="00E57255"/>
    <w:rsid w:val="00E57B9B"/>
    <w:rsid w:val="00EA04A2"/>
    <w:rsid w:val="00EA351B"/>
    <w:rsid w:val="00F11DEE"/>
    <w:rsid w:val="00F2389A"/>
    <w:rsid w:val="00F402BA"/>
    <w:rsid w:val="00F43A07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9F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9C217-E085-4630-8186-9333CB33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2023-06-06T08:48:00Z</dcterms:created>
  <dcterms:modified xsi:type="dcterms:W3CDTF">2023-06-06T08:48:00Z</dcterms:modified>
</cp:coreProperties>
</file>