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6605" w:rsidRDefault="00ED61A7" w:rsidP="00443031">
      <w:pPr>
        <w:rPr>
          <w:rFonts w:asciiTheme="minorHAnsi" w:hAnsiTheme="minorHAnsi" w:cstheme="minorHAnsi"/>
          <w:b/>
          <w:caps/>
          <w:color w:val="000000" w:themeColor="text1"/>
          <w:sz w:val="22"/>
        </w:rPr>
      </w:pPr>
      <w:r w:rsidRPr="00446605">
        <w:rPr>
          <w:rFonts w:ascii="Calibri" w:hAnsi="Calibri"/>
          <w:sz w:val="22"/>
        </w:rPr>
        <w:t>ALLEGATO 2 -   DOCUMENTO DI GARA UNICO EUROPEO (DGUE)</w:t>
      </w:r>
    </w:p>
    <w:p w:rsidR="00443031" w:rsidRDefault="00443031"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ED61A7" w:rsidRDefault="00ED61A7"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Fermo restando che il DGUE deve essere reso e sottoscritto con le modalità indicate al par</w:t>
      </w:r>
      <w:r w:rsidRPr="00C17240">
        <w:rPr>
          <w:rFonts w:asciiTheme="minorHAnsi" w:hAnsiTheme="minorHAnsi"/>
          <w:sz w:val="20"/>
          <w:szCs w:val="20"/>
        </w:rPr>
        <w:t>. 14.2 del</w:t>
      </w:r>
      <w:r w:rsidRPr="00EE473E">
        <w:rPr>
          <w:rFonts w:asciiTheme="minorHAnsi" w:hAnsiTheme="minorHAnsi"/>
          <w:sz w:val="20"/>
          <w:szCs w:val="20"/>
        </w:rPr>
        <w:t xml:space="preserve"> </w:t>
      </w:r>
      <w:r w:rsidRPr="00E04682">
        <w:rPr>
          <w:rFonts w:asciiTheme="minorHAnsi" w:hAnsiTheme="minorHAnsi"/>
          <w:sz w:val="20"/>
          <w:szCs w:val="20"/>
        </w:rPr>
        <w:t>Capitolato d’Oneri</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E04682">
        <w:rPr>
          <w:rFonts w:asciiTheme="minorHAnsi" w:hAnsiTheme="minorHAnsi" w:cs="Calibri"/>
          <w:sz w:val="20"/>
          <w:szCs w:val="20"/>
        </w:rPr>
        <w:t xml:space="preserve">nel </w:t>
      </w:r>
      <w:r w:rsidRPr="00E04682">
        <w:rPr>
          <w:rFonts w:asciiTheme="minorHAnsi" w:hAnsiTheme="minorHAnsi" w:cs="Calibri"/>
          <w:sz w:val="20"/>
          <w:szCs w:val="20"/>
        </w:rPr>
        <w:t>capitolato d’oneri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dichiara di non trovarsi nelle condizioni previste dal par. 6 del </w:t>
      </w:r>
      <w:r w:rsidR="00ED61A7">
        <w:rPr>
          <w:rFonts w:asciiTheme="minorHAnsi" w:hAnsiTheme="minorHAnsi" w:cs="Calibri"/>
          <w:sz w:val="20"/>
          <w:szCs w:val="20"/>
        </w:rPr>
        <w:t>Capitolato d’Oneri</w:t>
      </w:r>
      <w:r w:rsidRPr="00EE473E">
        <w:rPr>
          <w:rFonts w:asciiTheme="minorHAnsi" w:hAnsiTheme="minorHAnsi" w:cs="Calibri"/>
          <w:sz w:val="20"/>
          <w:szCs w:val="20"/>
        </w:rPr>
        <w:t xml:space="preserv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dichiara di non trovarsi nelle condizioni previste dal par. 6 del </w:t>
      </w:r>
      <w:r w:rsidR="00ED61A7">
        <w:rPr>
          <w:rFonts w:asciiTheme="minorHAnsi" w:hAnsiTheme="minorHAnsi" w:cs="Calibri"/>
          <w:sz w:val="20"/>
          <w:szCs w:val="20"/>
        </w:rPr>
        <w:t>Capitolato d’Oneri</w:t>
      </w:r>
      <w:r w:rsidRPr="00EE473E">
        <w:rPr>
          <w:rFonts w:asciiTheme="minorHAnsi" w:hAnsiTheme="minorHAnsi" w:cs="Calibri"/>
          <w:sz w:val="20"/>
          <w:szCs w:val="20"/>
        </w:rPr>
        <w:t xml:space="preserv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C1724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C17240">
        <w:rPr>
          <w:rFonts w:asciiTheme="minorHAnsi" w:hAnsiTheme="minorHAnsi" w:cs="Arial"/>
          <w:b/>
          <w:sz w:val="20"/>
          <w:szCs w:val="20"/>
        </w:rPr>
        <w:t>Parte IV – Criteri di selezione</w:t>
      </w:r>
    </w:p>
    <w:p w:rsidR="00443031" w:rsidRPr="00C1724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17240">
        <w:rPr>
          <w:rFonts w:asciiTheme="minorHAnsi" w:hAnsiTheme="minorHAnsi" w:cs="Calibri"/>
          <w:sz w:val="20"/>
          <w:szCs w:val="20"/>
        </w:rPr>
        <w:t>Il concorrente dichiara di possedere tutti i requisiti richiesti dai criteri di selezione compilando:</w:t>
      </w:r>
    </w:p>
    <w:p w:rsidR="00443031" w:rsidRPr="00C17240"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17240">
        <w:rPr>
          <w:rFonts w:asciiTheme="minorHAnsi" w:hAnsiTheme="minorHAnsi" w:cs="Calibri"/>
          <w:sz w:val="20"/>
          <w:szCs w:val="20"/>
        </w:rPr>
        <w:t xml:space="preserve">la sezione A per dichiarare il possesso del requisito relativo all’idoneità professionale di cui par. </w:t>
      </w:r>
      <w:r w:rsidRPr="00C17240">
        <w:rPr>
          <w:rFonts w:asciiTheme="minorHAnsi" w:hAnsiTheme="minorHAnsi" w:cs="Calibri"/>
          <w:sz w:val="20"/>
          <w:szCs w:val="20"/>
        </w:rPr>
        <w:fldChar w:fldCharType="begin"/>
      </w:r>
      <w:r w:rsidRPr="00C17240">
        <w:rPr>
          <w:rFonts w:asciiTheme="minorHAnsi" w:hAnsiTheme="minorHAnsi" w:cs="Calibri"/>
          <w:sz w:val="20"/>
          <w:szCs w:val="20"/>
        </w:rPr>
        <w:instrText xml:space="preserve"> REF _Ref495411541 \r \h  \* MERGEFORMAT </w:instrText>
      </w:r>
      <w:r w:rsidRPr="00C17240">
        <w:rPr>
          <w:rFonts w:asciiTheme="minorHAnsi" w:hAnsiTheme="minorHAnsi" w:cs="Calibri"/>
          <w:sz w:val="20"/>
          <w:szCs w:val="20"/>
        </w:rPr>
      </w:r>
      <w:r w:rsidRPr="00C17240">
        <w:rPr>
          <w:rFonts w:asciiTheme="minorHAnsi" w:hAnsiTheme="minorHAnsi" w:cs="Calibri"/>
          <w:sz w:val="20"/>
          <w:szCs w:val="20"/>
        </w:rPr>
        <w:fldChar w:fldCharType="separate"/>
      </w:r>
      <w:r w:rsidRPr="00C17240">
        <w:rPr>
          <w:rFonts w:asciiTheme="minorHAnsi" w:hAnsiTheme="minorHAnsi" w:cs="Calibri"/>
          <w:sz w:val="20"/>
          <w:szCs w:val="20"/>
        </w:rPr>
        <w:t>7.1</w:t>
      </w:r>
      <w:r w:rsidRPr="00C17240">
        <w:rPr>
          <w:rFonts w:asciiTheme="minorHAnsi" w:hAnsiTheme="minorHAnsi" w:cs="Calibri"/>
          <w:sz w:val="20"/>
          <w:szCs w:val="20"/>
        </w:rPr>
        <w:fldChar w:fldCharType="end"/>
      </w:r>
      <w:r w:rsidRPr="00C17240">
        <w:rPr>
          <w:rFonts w:asciiTheme="minorHAnsi" w:hAnsiTheme="minorHAnsi" w:cs="Calibri"/>
          <w:sz w:val="20"/>
          <w:szCs w:val="20"/>
        </w:rPr>
        <w:t xml:space="preserve"> del presente </w:t>
      </w:r>
      <w:r w:rsidR="00ED61A7" w:rsidRPr="00C17240">
        <w:rPr>
          <w:rFonts w:asciiTheme="minorHAnsi" w:hAnsiTheme="minorHAnsi" w:cs="Calibri"/>
          <w:sz w:val="20"/>
          <w:szCs w:val="20"/>
        </w:rPr>
        <w:t>Capitolato d’Oneri</w:t>
      </w:r>
      <w:r w:rsidRPr="00C17240">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C17240">
        <w:rPr>
          <w:rFonts w:asciiTheme="minorHAnsi" w:hAnsiTheme="minorHAnsi" w:cs="Calibri"/>
          <w:sz w:val="20"/>
          <w:szCs w:val="20"/>
        </w:rPr>
        <w:t>a)</w:t>
      </w:r>
      <w:r w:rsidRPr="00C17240">
        <w:rPr>
          <w:rFonts w:asciiTheme="minorHAnsi" w:hAnsiTheme="minorHAnsi" w:cs="Calibri"/>
          <w:sz w:val="20"/>
          <w:szCs w:val="20"/>
        </w:rPr>
        <w:tab/>
        <w:t xml:space="preserve">la sezione B per dichiarare il possesso del requisito relativo alla capacità economico-finanziaria di cui al par. </w:t>
      </w:r>
      <w:r w:rsidRPr="00C17240">
        <w:rPr>
          <w:rFonts w:asciiTheme="minorHAnsi" w:hAnsiTheme="minorHAnsi" w:cs="Calibri"/>
          <w:sz w:val="20"/>
          <w:szCs w:val="20"/>
        </w:rPr>
        <w:fldChar w:fldCharType="begin"/>
      </w:r>
      <w:r w:rsidRPr="00C17240">
        <w:rPr>
          <w:rFonts w:asciiTheme="minorHAnsi" w:hAnsiTheme="minorHAnsi" w:cs="Calibri"/>
          <w:sz w:val="20"/>
          <w:szCs w:val="20"/>
        </w:rPr>
        <w:instrText xml:space="preserve"> REF _Ref495411575 \r \h  \* MERGEFORMAT </w:instrText>
      </w:r>
      <w:r w:rsidRPr="00C17240">
        <w:rPr>
          <w:rFonts w:asciiTheme="minorHAnsi" w:hAnsiTheme="minorHAnsi" w:cs="Calibri"/>
          <w:sz w:val="20"/>
          <w:szCs w:val="20"/>
        </w:rPr>
      </w:r>
      <w:r w:rsidRPr="00C17240">
        <w:rPr>
          <w:rFonts w:asciiTheme="minorHAnsi" w:hAnsiTheme="minorHAnsi" w:cs="Calibri"/>
          <w:sz w:val="20"/>
          <w:szCs w:val="20"/>
        </w:rPr>
        <w:fldChar w:fldCharType="separate"/>
      </w:r>
      <w:r w:rsidRPr="00C17240">
        <w:rPr>
          <w:rFonts w:asciiTheme="minorHAnsi" w:hAnsiTheme="minorHAnsi" w:cs="Calibri"/>
          <w:sz w:val="20"/>
          <w:szCs w:val="20"/>
        </w:rPr>
        <w:t>7.2</w:t>
      </w:r>
      <w:r w:rsidRPr="00C17240">
        <w:rPr>
          <w:rFonts w:asciiTheme="minorHAnsi" w:hAnsiTheme="minorHAnsi" w:cs="Calibri"/>
          <w:sz w:val="20"/>
          <w:szCs w:val="20"/>
        </w:rPr>
        <w:fldChar w:fldCharType="end"/>
      </w:r>
      <w:r w:rsidRPr="00C17240">
        <w:rPr>
          <w:rFonts w:asciiTheme="minorHAnsi" w:hAnsiTheme="minorHAnsi" w:cs="Calibri"/>
          <w:sz w:val="20"/>
          <w:szCs w:val="20"/>
        </w:rPr>
        <w:t xml:space="preserve"> del presente </w:t>
      </w:r>
      <w:r w:rsidR="00ED61A7" w:rsidRPr="00C17240">
        <w:rPr>
          <w:rFonts w:asciiTheme="minorHAnsi" w:hAnsiTheme="minorHAnsi" w:cs="Calibri"/>
          <w:sz w:val="20"/>
          <w:szCs w:val="20"/>
        </w:rPr>
        <w:t>Capitolato d’Oneri</w:t>
      </w:r>
      <w:r w:rsidRPr="00C17240">
        <w:rPr>
          <w:rFonts w:asciiTheme="minorHAnsi" w:hAnsiTheme="minorHAnsi" w:cs="Calibri"/>
          <w:sz w:val="20"/>
          <w:szCs w:val="20"/>
        </w:rPr>
        <w:t>;</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bookmarkStart w:id="0" w:name="_GoBack"/>
      <w:bookmarkEnd w:id="0"/>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1004AB" w:rsidP="001004AB">
            <w:pPr>
              <w:rPr>
                <w:rFonts w:ascii="Arial" w:hAnsi="Arial" w:cs="Arial"/>
                <w:color w:val="000000" w:themeColor="text1"/>
                <w:sz w:val="15"/>
                <w:szCs w:val="15"/>
              </w:rPr>
            </w:pPr>
            <w:r w:rsidRPr="001004AB">
              <w:rPr>
                <w:rFonts w:ascii="Arial" w:hAnsi="Arial" w:cs="Arial"/>
                <w:sz w:val="15"/>
                <w:szCs w:val="15"/>
              </w:rPr>
              <w:t xml:space="preserve">Gara a procedura aperta ai sensi del d.lgs. 50/2016 e </w:t>
            </w:r>
            <w:proofErr w:type="spellStart"/>
            <w:r w:rsidRPr="001004AB">
              <w:rPr>
                <w:rFonts w:ascii="Arial" w:hAnsi="Arial" w:cs="Arial"/>
                <w:sz w:val="15"/>
                <w:szCs w:val="15"/>
              </w:rPr>
              <w:t>s.m.i.</w:t>
            </w:r>
            <w:proofErr w:type="spellEnd"/>
            <w:r w:rsidRPr="001004AB">
              <w:rPr>
                <w:rFonts w:ascii="Arial" w:hAnsi="Arial" w:cs="Arial"/>
                <w:sz w:val="15"/>
                <w:szCs w:val="15"/>
              </w:rPr>
              <w:t>,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D61A7">
            <w:pPr>
              <w:rPr>
                <w:rFonts w:ascii="Arial" w:hAnsi="Arial" w:cs="Arial"/>
                <w:color w:val="000000" w:themeColor="text1"/>
                <w:sz w:val="15"/>
                <w:szCs w:val="15"/>
              </w:rPr>
            </w:pPr>
            <w:r w:rsidRPr="00771AE4">
              <w:rPr>
                <w:rFonts w:ascii="Arial" w:hAnsi="Arial" w:cs="Arial"/>
                <w:sz w:val="15"/>
                <w:szCs w:val="15"/>
              </w:rPr>
              <w:t xml:space="preserve">ID </w:t>
            </w:r>
            <w:r w:rsidR="00ED61A7">
              <w:rPr>
                <w:rFonts w:ascii="Arial" w:hAnsi="Arial" w:cs="Arial"/>
                <w:sz w:val="15"/>
                <w:szCs w:val="15"/>
              </w:rPr>
              <w:t>2600</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ED61A7">
            <w:pPr>
              <w:suppressAutoHyphens/>
              <w:rPr>
                <w:rFonts w:ascii="Arial" w:hAnsi="Arial" w:cs="Arial"/>
                <w:sz w:val="15"/>
                <w:szCs w:val="15"/>
              </w:rPr>
            </w:pPr>
            <w:r w:rsidRPr="00771AE4">
              <w:rPr>
                <w:rFonts w:ascii="Arial" w:hAnsi="Arial" w:cs="Arial"/>
                <w:sz w:val="15"/>
                <w:szCs w:val="15"/>
              </w:rPr>
              <w:t xml:space="preserve">________ </w:t>
            </w:r>
            <w:r w:rsidR="00ED61A7">
              <w:rPr>
                <w:rFonts w:ascii="Arial" w:hAnsi="Arial" w:cs="Arial"/>
                <w:sz w:val="15"/>
                <w:szCs w:val="15"/>
              </w:rPr>
              <w:t>&lt;</w:t>
            </w:r>
            <w:r w:rsidR="00ED61A7" w:rsidRPr="00ED61A7">
              <w:rPr>
                <w:i/>
                <w:color w:val="4F81BD" w:themeColor="accent1"/>
              </w:rPr>
              <w:t xml:space="preserve"> </w:t>
            </w:r>
            <w:r w:rsidR="00ED61A7" w:rsidRPr="00ED61A7">
              <w:rPr>
                <w:rFonts w:ascii="Arial" w:hAnsi="Arial" w:cs="Arial"/>
                <w:i/>
                <w:color w:val="4F81BD" w:themeColor="accent1"/>
                <w:sz w:val="15"/>
                <w:szCs w:val="15"/>
              </w:rPr>
              <w:t>Lotto 1 9634518FC1; Lotto 2 9634538047</w:t>
            </w:r>
            <w:r w:rsidR="00ED61A7">
              <w:rPr>
                <w:rFonts w:ascii="Arial" w:hAnsi="Arial" w:cs="Arial"/>
                <w:sz w:val="15"/>
                <w:szCs w:val="15"/>
              </w:rPr>
              <w:t>&gt;</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58B" w:rsidRDefault="009A458B" w:rsidP="00EA2EEC">
      <w:pPr>
        <w:spacing w:before="0" w:after="0"/>
      </w:pPr>
      <w:r>
        <w:separator/>
      </w:r>
    </w:p>
  </w:endnote>
  <w:endnote w:type="continuationSeparator" w:id="0">
    <w:p w:rsidR="009A458B" w:rsidRDefault="009A458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C76" w:rsidRPr="002A2BAB" w:rsidRDefault="002A2BAB">
    <w:pPr>
      <w:pStyle w:val="Pidipagina"/>
      <w:rPr>
        <w:sz w:val="20"/>
      </w:rPr>
    </w:pPr>
    <w:r w:rsidRPr="002A2BAB">
      <w:rPr>
        <w:sz w:val="20"/>
      </w:rPr>
      <w:t xml:space="preserve">Moduli di dichiarazione - Gara a procedura aperta ai sensi del d.lgs. 50/2016 e </w:t>
    </w:r>
    <w:proofErr w:type="spellStart"/>
    <w:r w:rsidRPr="002A2BAB">
      <w:rPr>
        <w:sz w:val="20"/>
      </w:rPr>
      <w:t>s.m.i.</w:t>
    </w:r>
    <w:proofErr w:type="spellEnd"/>
    <w:r w:rsidRPr="002A2BAB">
      <w:rPr>
        <w:sz w:val="20"/>
      </w:rPr>
      <w:t>,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 – ID 2600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58B" w:rsidRDefault="009A458B" w:rsidP="00EA2EEC">
      <w:pPr>
        <w:spacing w:before="0" w:after="0"/>
      </w:pPr>
      <w:r>
        <w:separator/>
      </w:r>
    </w:p>
  </w:footnote>
  <w:footnote w:type="continuationSeparator" w:id="0">
    <w:p w:rsidR="009A458B" w:rsidRDefault="009A458B"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ED6684">
    <w:pPr>
      <w:pStyle w:val="TAGTECNICI"/>
    </w:pPr>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004AB"/>
    <w:rsid w:val="001105D3"/>
    <w:rsid w:val="00195D20"/>
    <w:rsid w:val="002A2BAB"/>
    <w:rsid w:val="002A32A6"/>
    <w:rsid w:val="002A7C76"/>
    <w:rsid w:val="003F6ABF"/>
    <w:rsid w:val="004048D0"/>
    <w:rsid w:val="00443031"/>
    <w:rsid w:val="00446605"/>
    <w:rsid w:val="004A0EEE"/>
    <w:rsid w:val="00542F2E"/>
    <w:rsid w:val="00630B6E"/>
    <w:rsid w:val="00633176"/>
    <w:rsid w:val="00684AD4"/>
    <w:rsid w:val="00736C1C"/>
    <w:rsid w:val="00894D81"/>
    <w:rsid w:val="009A458B"/>
    <w:rsid w:val="00A079C9"/>
    <w:rsid w:val="00A663C7"/>
    <w:rsid w:val="00A86AC7"/>
    <w:rsid w:val="00B54254"/>
    <w:rsid w:val="00BB1F8F"/>
    <w:rsid w:val="00C17240"/>
    <w:rsid w:val="00C312FA"/>
    <w:rsid w:val="00D30E97"/>
    <w:rsid w:val="00DB7DE0"/>
    <w:rsid w:val="00E04682"/>
    <w:rsid w:val="00E60E9B"/>
    <w:rsid w:val="00EA2EEC"/>
    <w:rsid w:val="00EA3B97"/>
    <w:rsid w:val="00ED61A7"/>
    <w:rsid w:val="00ED6684"/>
    <w:rsid w:val="00EE473E"/>
    <w:rsid w:val="00F427F0"/>
    <w:rsid w:val="00F969C3"/>
    <w:rsid w:val="00FD6A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663470">
      <w:bodyDiv w:val="1"/>
      <w:marLeft w:val="0"/>
      <w:marRight w:val="0"/>
      <w:marTop w:val="0"/>
      <w:marBottom w:val="0"/>
      <w:divBdr>
        <w:top w:val="none" w:sz="0" w:space="0" w:color="auto"/>
        <w:left w:val="none" w:sz="0" w:space="0" w:color="auto"/>
        <w:bottom w:val="none" w:sz="0" w:space="0" w:color="auto"/>
        <w:right w:val="none" w:sz="0" w:space="0" w:color="auto"/>
      </w:divBdr>
    </w:div>
    <w:div w:id="107134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6941</Words>
  <Characters>39567</Characters>
  <Application>Microsoft Office Word</Application>
  <DocSecurity>0</DocSecurity>
  <Lines>329</Lines>
  <Paragraphs>92</Paragraphs>
  <ScaleCrop>false</ScaleCrop>
  <Company/>
  <LinksUpToDate>false</LinksUpToDate>
  <CharactersWithSpaces>46416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2023-03-01T12:06:00Z</dcterms:created>
  <dcterms:modified xsi:type="dcterms:W3CDTF">2023-03-07T09:21:00Z</dcterms:modified>
</cp:coreProperties>
</file>