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D35" w:rsidRDefault="001E1A08">
      <w:pPr>
        <w:pStyle w:val="CLASSIFICAZIONEBODY2"/>
      </w:pPr>
      <w:r>
        <w:t xml:space="preserve">CLASSIFICAZIONE DEL DOCUMENTO: CONSIP </w:t>
      </w:r>
      <w:r w:rsidR="007F66C9">
        <w:t>PUBLIC</w:t>
      </w:r>
    </w:p>
    <w:p w:rsidR="006A469E" w:rsidRPr="009246BE" w:rsidRDefault="006A469E" w:rsidP="006A469E">
      <w:pPr>
        <w:rPr>
          <w:rFonts w:ascii="Calibri" w:hAnsi="Calibri"/>
        </w:rPr>
      </w:pPr>
    </w:p>
    <w:p w:rsidR="006A469E" w:rsidRPr="00622E8F" w:rsidRDefault="006A469E" w:rsidP="006A469E">
      <w:pPr>
        <w:pStyle w:val="Titolocopertina"/>
        <w:rPr>
          <w:rFonts w:ascii="Calibri" w:hAnsi="Calibri"/>
          <w:b/>
        </w:rPr>
      </w:pPr>
    </w:p>
    <w:p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rsidR="006A469E" w:rsidRPr="00622E8F" w:rsidRDefault="006A469E" w:rsidP="006A469E">
      <w:pPr>
        <w:rPr>
          <w:rFonts w:ascii="Calibri" w:hAnsi="Calibri"/>
        </w:rPr>
      </w:pPr>
    </w:p>
    <w:p w:rsidR="006A469E" w:rsidRPr="00622E8F" w:rsidRDefault="006A469E" w:rsidP="006A469E">
      <w:pPr>
        <w:pStyle w:val="Indirizzo"/>
        <w:rPr>
          <w:rFonts w:ascii="Calibri" w:hAnsi="Calibri"/>
        </w:rPr>
      </w:pPr>
      <w:r w:rsidRPr="00622E8F">
        <w:rPr>
          <w:rFonts w:ascii="Calibri" w:hAnsi="Calibri"/>
        </w:rPr>
        <w:t xml:space="preserve">Spett.le </w:t>
      </w:r>
    </w:p>
    <w:p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rsidR="006A469E" w:rsidRPr="00622E8F" w:rsidRDefault="006A469E" w:rsidP="006A469E">
      <w:pPr>
        <w:pStyle w:val="Indirizzo"/>
        <w:rPr>
          <w:rFonts w:ascii="Calibri" w:hAnsi="Calibri" w:cs="Trebuchet MS"/>
        </w:rPr>
      </w:pPr>
      <w:r w:rsidRPr="00622E8F">
        <w:rPr>
          <w:rFonts w:ascii="Calibri" w:hAnsi="Calibri" w:cs="Trebuchet MS"/>
        </w:rPr>
        <w:t>Via Isonzo, 19/E</w:t>
      </w:r>
    </w:p>
    <w:p w:rsidR="006A469E" w:rsidRPr="00622E8F" w:rsidRDefault="006A469E" w:rsidP="006A469E">
      <w:pPr>
        <w:pStyle w:val="Indirizzo"/>
        <w:rPr>
          <w:rFonts w:ascii="Calibri" w:hAnsi="Calibri" w:cs="Trebuchet MS"/>
        </w:rPr>
      </w:pPr>
      <w:r w:rsidRPr="00622E8F">
        <w:rPr>
          <w:rFonts w:ascii="Calibri" w:hAnsi="Calibri" w:cs="Trebuchet MS"/>
        </w:rPr>
        <w:t>00198 Roma</w:t>
      </w:r>
    </w:p>
    <w:p w:rsidR="006A469E" w:rsidRPr="00622E8F" w:rsidRDefault="006A469E" w:rsidP="006A469E">
      <w:pPr>
        <w:pStyle w:val="Indirizzo"/>
        <w:rPr>
          <w:rFonts w:ascii="Calibri" w:hAnsi="Calibri" w:cs="Trebuchet MS"/>
        </w:rPr>
      </w:pPr>
    </w:p>
    <w:p w:rsidR="006A469E" w:rsidRPr="00622E8F" w:rsidRDefault="006A469E" w:rsidP="006A469E">
      <w:pPr>
        <w:rPr>
          <w:rFonts w:ascii="Calibri" w:hAnsi="Calibri"/>
        </w:rPr>
      </w:pPr>
      <w:r w:rsidRPr="00622E8F">
        <w:rPr>
          <w:rFonts w:ascii="Calibri" w:hAnsi="Calibri"/>
        </w:rPr>
        <w:t>_________, lì __________</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 xml:space="preserve">……………. </w:t>
      </w:r>
    </w:p>
    <w:p w:rsidR="006A469E" w:rsidRPr="00622E8F" w:rsidRDefault="006A469E" w:rsidP="006A469E">
      <w:pPr>
        <w:rPr>
          <w:rFonts w:ascii="Calibri" w:hAnsi="Calibri"/>
        </w:rPr>
      </w:pPr>
      <w:r w:rsidRPr="00622E8F">
        <w:rPr>
          <w:rFonts w:ascii="Calibri" w:hAnsi="Calibri"/>
        </w:rPr>
        <w:t>Premesso che:</w:t>
      </w:r>
    </w:p>
    <w:p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Lgs. 50/2016, per la fornitura di </w:t>
      </w:r>
      <w:r w:rsidR="00B64294" w:rsidRPr="00B64294">
        <w:rPr>
          <w:rFonts w:ascii="Calibri" w:hAnsi="Calibri"/>
        </w:rPr>
        <w:t>servizi specialistici di supporto alla Digital Transformation per la PA</w:t>
      </w:r>
      <w:r w:rsidR="00B64294">
        <w:rPr>
          <w:rFonts w:ascii="Calibri" w:hAnsi="Calibri"/>
        </w:rPr>
        <w:t>,</w:t>
      </w:r>
      <w:r w:rsidR="00B64294" w:rsidRPr="00B64294">
        <w:rPr>
          <w:rFonts w:ascii="Calibri" w:hAnsi="Calibri"/>
        </w:rPr>
        <w:t xml:space="preserve"> </w:t>
      </w:r>
      <w:r w:rsidRPr="00622E8F">
        <w:rPr>
          <w:rFonts w:ascii="Calibri" w:hAnsi="Calibri"/>
        </w:rPr>
        <w:t xml:space="preserve">Lotto ____ </w:t>
      </w:r>
      <w:r w:rsidR="00B64294">
        <w:rPr>
          <w:rFonts w:ascii="Calibri" w:hAnsi="Calibri"/>
        </w:rPr>
        <w:t xml:space="preserve">avente ad oggetto ____ </w:t>
      </w:r>
      <w:r w:rsidRPr="00622E8F">
        <w:rPr>
          <w:rFonts w:ascii="Calibri" w:hAnsi="Calibri"/>
        </w:rPr>
        <w:t xml:space="preserve">, con il quale il Fornitore si impegna a stipulare contratti basati su singoli </w:t>
      </w:r>
      <w:r w:rsidR="00B64294">
        <w:rPr>
          <w:rFonts w:ascii="Calibri" w:hAnsi="Calibri"/>
        </w:rPr>
        <w:t>Contratti Esecutivi</w:t>
      </w:r>
      <w:r w:rsidRPr="00622E8F">
        <w:rPr>
          <w:rFonts w:ascii="Calibri" w:hAnsi="Calibri"/>
        </w:rPr>
        <w:t xml:space="preserve"> affidati dalle Pubbliche Amministrazioni nonché dagli altri soggetti legittimati ai sensi della normativa vigente ad utilizzare l’Accordo Quadro (di seguito anche solo “Amministra</w:t>
      </w:r>
      <w:r w:rsidR="00B64294">
        <w:rPr>
          <w:rFonts w:ascii="Calibri" w:hAnsi="Calibri"/>
        </w:rPr>
        <w:t>zioni”), sino a concorrenza dell’</w:t>
      </w:r>
      <w:r w:rsidRPr="00622E8F">
        <w:rPr>
          <w:rFonts w:ascii="Calibri" w:hAnsi="Calibri"/>
        </w:rPr>
        <w:t>importo massimo stabilito nell’Accordo Quadro, ai prezzi e alle condizioni nello stesso indicate</w:t>
      </w:r>
      <w:r w:rsidRPr="00622E8F">
        <w:rPr>
          <w:rFonts w:ascii="Calibri" w:hAnsi="Calibri"/>
          <w:i/>
          <w:color w:val="4F81BD"/>
        </w:rPr>
        <w:t>;</w:t>
      </w:r>
    </w:p>
    <w:p w:rsidR="00B64294" w:rsidRDefault="006A469E" w:rsidP="00F43BC5">
      <w:pPr>
        <w:ind w:left="360" w:hanging="360"/>
        <w:rPr>
          <w:rFonts w:ascii="Calibri" w:hAnsi="Calibri"/>
        </w:rPr>
      </w:pPr>
      <w:r w:rsidRPr="00622E8F">
        <w:rPr>
          <w:rStyle w:val="StileGrassettoCorsivo"/>
          <w:rFonts w:ascii="Calibri" w:hAnsi="Calibri"/>
        </w:rPr>
        <w:t>(b)</w:t>
      </w:r>
      <w:r w:rsidRPr="00622E8F">
        <w:rPr>
          <w:rFonts w:ascii="Calibri" w:hAnsi="Calibri"/>
        </w:rPr>
        <w:t xml:space="preserve"> 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w:t>
      </w:r>
      <w:r w:rsidR="00B64294">
        <w:rPr>
          <w:rFonts w:ascii="Calibri" w:hAnsi="Calibri"/>
        </w:rPr>
        <w:t>Esecutivi</w:t>
      </w:r>
    </w:p>
    <w:p w:rsidR="00F43BC5" w:rsidRPr="00622E8F" w:rsidRDefault="00F43BC5" w:rsidP="00F43BC5">
      <w:pPr>
        <w:ind w:left="360" w:hanging="360"/>
        <w:rPr>
          <w:rFonts w:asciiTheme="minorHAnsi" w:hAnsiTheme="minorHAnsi" w:cstheme="minorHAnsi"/>
          <w:i/>
          <w:iCs/>
        </w:rPr>
      </w:pPr>
      <w:r w:rsidRPr="00622E8F">
        <w:rPr>
          <w:rStyle w:val="StileGrassettoCorsivo"/>
          <w:rFonts w:asciiTheme="minorHAnsi" w:hAnsiTheme="minorHAnsi" w:cstheme="minorHAnsi"/>
          <w:i w:val="0"/>
        </w:rPr>
        <w:t>;</w:t>
      </w:r>
    </w:p>
    <w:p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il sottoscritto Istituto di credito _________ [</w:t>
      </w:r>
      <w:r w:rsidRPr="00622E8F">
        <w:rPr>
          <w:rFonts w:ascii="Calibri" w:hAnsi="Calibri"/>
          <w:i/>
        </w:rPr>
        <w:t>ovvero, in alternativa</w:t>
      </w:r>
      <w:r w:rsidRPr="00622E8F">
        <w:rPr>
          <w:rFonts w:ascii="Calibri" w:hAnsi="Calibri"/>
        </w:rPr>
        <w:t>: la sottoscritta Impresa di Assicurazione ovvero, in alternativa la sottoscritta Società Finanziaria], con sede in _____, Via ____, n. _ si è dichiarato/a disponibile a concedere la predetta fideiussione.</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w:t>
      </w:r>
      <w:r w:rsidRPr="00622E8F">
        <w:rPr>
          <w:rFonts w:ascii="Calibri" w:hAnsi="Calibri"/>
        </w:rPr>
        <w:lastRenderedPageBreak/>
        <w:t>sottoscritto Istituto di credito ___________[</w:t>
      </w:r>
      <w:r w:rsidRPr="00622E8F">
        <w:rPr>
          <w:rStyle w:val="StileGrassetto"/>
          <w:rFonts w:ascii="Calibri" w:hAnsi="Calibri"/>
          <w:b w:val="0"/>
          <w:i/>
        </w:rPr>
        <w:t>ovvero, in alternativa</w:t>
      </w:r>
      <w:r w:rsidRPr="00622E8F">
        <w:rPr>
          <w:rFonts w:ascii="Calibri" w:hAnsi="Calibri"/>
          <w:b/>
          <w:i/>
        </w:rPr>
        <w:t>:</w:t>
      </w:r>
      <w:r w:rsidRPr="00622E8F">
        <w:rPr>
          <w:rFonts w:ascii="Calibri" w:hAnsi="Calibri"/>
        </w:rPr>
        <w:t xml:space="preserve"> la sottoscritta Società Finanziaria </w:t>
      </w:r>
      <w:r w:rsidRPr="00622E8F">
        <w:rPr>
          <w:rStyle w:val="StileGrassetto"/>
          <w:rFonts w:ascii="Calibri" w:hAnsi="Calibri"/>
        </w:rPr>
        <w:t>ovvero, in alternativa</w:t>
      </w:r>
      <w:r w:rsidRPr="00622E8F">
        <w:rPr>
          <w:rFonts w:ascii="Calibri" w:hAnsi="Calibri"/>
        </w:rPr>
        <w:t xml:space="preserve">: la sottoscritta Impresa di Assicurazione] (in seguito per brevità anche l’“Istituto” </w:t>
      </w:r>
      <w:r w:rsidRPr="00622E8F">
        <w:rPr>
          <w:rFonts w:ascii="Calibri" w:hAnsi="Calibri"/>
          <w:i/>
        </w:rPr>
        <w:t>ovvero, in alternativa</w:t>
      </w:r>
      <w:r w:rsidRPr="00622E8F">
        <w:rPr>
          <w:rFonts w:ascii="Calibri" w:hAnsi="Calibri"/>
        </w:rPr>
        <w:t xml:space="preserve">: la “Società” </w:t>
      </w:r>
      <w:r w:rsidRPr="00622E8F">
        <w:rPr>
          <w:rFonts w:ascii="Calibri" w:hAnsi="Calibri"/>
          <w:i/>
        </w:rPr>
        <w:t>ovvero, in alternativa</w:t>
      </w:r>
      <w:r w:rsidRPr="00622E8F">
        <w:rPr>
          <w:rFonts w:ascii="Calibri" w:hAnsi="Calibri"/>
        </w:rPr>
        <w:t xml:space="preserve">: l’“Assicuratore”),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Pr="00622E8F">
        <w:rPr>
          <w:rFonts w:ascii="Calibri" w:hAnsi="Calibri"/>
        </w:rPr>
        <w:t xml:space="preserve"> il risarcimento dei danni derivanti dall'eventuale inadempimento degli obblighi stessi e quelli assunti dal Fornitore nella fase preliminare alla stipula dei contratti attuativi di cui al Capitolato Tecnico</w:t>
      </w:r>
      <w:r w:rsidR="0099309A">
        <w:rPr>
          <w:rFonts w:ascii="Calibri" w:hAnsi="Calibri"/>
        </w:rPr>
        <w:t xml:space="preserve"> Generale e Speciale</w:t>
      </w:r>
      <w:r w:rsidRPr="00622E8F">
        <w:rPr>
          <w:rFonts w:ascii="Calibri" w:hAnsi="Calibri"/>
        </w:rPr>
        <w:t>, nonché il pagamento alla Consip S.p</w:t>
      </w:r>
      <w:bookmarkStart w:id="0" w:name="_GoBack"/>
      <w:bookmarkEnd w:id="0"/>
      <w:r w:rsidRPr="00B12D05">
        <w:rPr>
          <w:rFonts w:ascii="Calibri" w:hAnsi="Calibri"/>
        </w:rPr>
        <w:t>.A. delle somme dovute il tutto sino ad un importo massimo pari a</w:t>
      </w:r>
      <w:r w:rsidR="00B12D05" w:rsidRPr="00B12D05">
        <w:rPr>
          <w:rFonts w:ascii="Calibri" w:hAnsi="Calibri"/>
        </w:rPr>
        <w:t xml:space="preserve">llo </w:t>
      </w:r>
      <w:r w:rsidR="00B12D05" w:rsidRPr="00B12D05">
        <w:rPr>
          <w:rFonts w:asciiTheme="minorHAnsi" w:hAnsiTheme="minorHAnsi" w:cstheme="minorHAnsi"/>
          <w:iCs/>
        </w:rPr>
        <w:t>0,35%</w:t>
      </w:r>
      <w:r w:rsidR="00B12D05" w:rsidRPr="00B12D05">
        <w:rPr>
          <w:rFonts w:ascii="Calibri" w:hAnsi="Calibri"/>
          <w:iCs/>
        </w:rPr>
        <w:t xml:space="preserve"> dell’importo massimo dell’Accordo Quadro per il Lotto di riferimento</w:t>
      </w:r>
      <w:r w:rsidRPr="00B12D05">
        <w:rPr>
          <w:rFonts w:ascii="Calibri" w:hAnsi="Calibri"/>
        </w:rPr>
        <w:t>, escutibile per intero in caso di risoluzione dell’Accordo Quadro.</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La garanzia è prestata alle seguenti condizioni:</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L’Istituto [</w:t>
      </w:r>
      <w:r w:rsidRPr="00622E8F">
        <w:rPr>
          <w:rFonts w:ascii="Calibri" w:hAnsi="Calibri"/>
          <w:b/>
          <w:bCs/>
          <w:i/>
          <w:iCs/>
        </w:rPr>
        <w:t>ovvero, in alternativa:</w:t>
      </w:r>
      <w:r w:rsidRPr="00622E8F">
        <w:rPr>
          <w:rFonts w:ascii="Calibri" w:hAnsi="Calibri"/>
          <w:bCs/>
        </w:rPr>
        <w:t xml:space="preserve"> </w:t>
      </w:r>
      <w:r w:rsidRPr="00622E8F">
        <w:rPr>
          <w:rFonts w:ascii="Calibri" w:hAnsi="Calibri"/>
        </w:rPr>
        <w:t>la Società, ovvero, in alternativa: l’Assicuratore] si impegna, irrevocabilmente, ad effettuare il pagamento sino all’importo massimo di Euro ______</w:t>
      </w:r>
      <w:proofErr w:type="gramStart"/>
      <w:r w:rsidRPr="00622E8F">
        <w:rPr>
          <w:rFonts w:ascii="Calibri" w:hAnsi="Calibri"/>
        </w:rPr>
        <w:t>_,_</w:t>
      </w:r>
      <w:proofErr w:type="gramEnd"/>
      <w:r w:rsidRPr="00622E8F">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Pr="00622E8F">
        <w:rPr>
          <w:rStyle w:val="Corsivo"/>
          <w:rFonts w:ascii="Calibri" w:hAnsi="Calibri"/>
        </w:rPr>
        <w:t>[</w:t>
      </w:r>
      <w:r w:rsidRPr="00622E8F">
        <w:rPr>
          <w:rFonts w:ascii="Calibri" w:hAnsi="Calibri"/>
          <w:b/>
          <w:bCs/>
          <w:i/>
          <w:iCs/>
        </w:rPr>
        <w:t>ovvero, in alternativa:</w:t>
      </w:r>
      <w:r w:rsidRPr="00622E8F">
        <w:rPr>
          <w:rFonts w:ascii="Calibri" w:hAnsi="Calibri"/>
          <w:bCs/>
        </w:rPr>
        <w:t xml:space="preserve"> </w:t>
      </w:r>
      <w:r w:rsidRPr="00622E8F">
        <w:rPr>
          <w:rFonts w:ascii="Calibri" w:hAnsi="Calibri"/>
        </w:rPr>
        <w:t>dalla Società, ovvero, in alternativa: dall’Assicuratore],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L’Istituto [</w:t>
      </w:r>
      <w:r w:rsidRPr="00622E8F">
        <w:rPr>
          <w:rFonts w:ascii="Calibri" w:hAnsi="Calibri"/>
          <w:b/>
          <w:bCs/>
          <w:i/>
          <w:iCs/>
        </w:rPr>
        <w:t>ovvero, in alternativa</w:t>
      </w:r>
      <w:r w:rsidRPr="00622E8F">
        <w:rPr>
          <w:rStyle w:val="Corsivo"/>
          <w:rFonts w:ascii="Calibri" w:hAnsi="Calibri"/>
        </w:rPr>
        <w:t>:</w:t>
      </w:r>
      <w:r w:rsidRPr="00622E8F">
        <w:rPr>
          <w:rFonts w:ascii="Calibri" w:hAnsi="Calibri"/>
        </w:rPr>
        <w:t xml:space="preserve"> la Società, </w:t>
      </w:r>
      <w:r w:rsidRPr="00622E8F">
        <w:rPr>
          <w:rFonts w:ascii="Calibri" w:hAnsi="Calibri"/>
          <w:b/>
          <w:bCs/>
          <w:i/>
          <w:iCs/>
        </w:rPr>
        <w:t>ovvero, in alternativa</w:t>
      </w:r>
      <w:r w:rsidRPr="00622E8F">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opererà per tutta la durata dell’Accordo Quadro, anche eventualmente prorogato, e, comunque, sino alla completa ed esatta esecuzione delle obbligazioni nascenti dall’Accordo Quadro e dai Contratti stipulati all’esito dell’affidamento dei singoli </w:t>
      </w:r>
      <w:r w:rsidR="006318E7">
        <w:rPr>
          <w:rFonts w:ascii="Calibri" w:hAnsi="Calibri"/>
          <w:iCs/>
          <w:lang w:eastAsia="ar-SA"/>
        </w:rPr>
        <w:t>Contratti Esecutivi</w:t>
      </w:r>
      <w:r w:rsidR="006318E7" w:rsidRPr="00622E8F">
        <w:rPr>
          <w:rFonts w:ascii="Calibri" w:hAnsi="Calibri"/>
          <w:iCs/>
          <w:lang w:eastAsia="ar-SA"/>
        </w:rPr>
        <w:t xml:space="preserve"> </w:t>
      </w:r>
      <w:r w:rsidR="00F43BC5" w:rsidRPr="00622E8F">
        <w:rPr>
          <w:rFonts w:asciiTheme="minorHAnsi" w:hAnsiTheme="minorHAnsi" w:cstheme="minorHAnsi"/>
        </w:rPr>
        <w:t>ivi compreso l’obbligo del pagamento delle verifiche ispettive</w:t>
      </w:r>
      <w:r w:rsidRPr="00622E8F">
        <w:rPr>
          <w:rFonts w:ascii="Calibri" w:hAnsi="Calibri"/>
        </w:rPr>
        <w:t>.</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L’Istituto [</w:t>
      </w:r>
      <w:r w:rsidRPr="00622E8F">
        <w:rPr>
          <w:rFonts w:ascii="Calibri" w:hAnsi="Calibri"/>
          <w:b/>
          <w:bCs/>
          <w:i/>
          <w:iCs/>
        </w:rPr>
        <w:t>ovvero, in alternativa</w:t>
      </w:r>
      <w:r w:rsidRPr="00622E8F">
        <w:rPr>
          <w:rStyle w:val="Corsivo"/>
          <w:rFonts w:ascii="Calibri" w:hAnsi="Calibri"/>
        </w:rPr>
        <w:t>:</w:t>
      </w:r>
      <w:r w:rsidRPr="00622E8F">
        <w:rPr>
          <w:rFonts w:ascii="Calibri" w:hAnsi="Calibri"/>
        </w:rPr>
        <w:t xml:space="preserve"> la Società, </w:t>
      </w:r>
      <w:r w:rsidRPr="00622E8F">
        <w:rPr>
          <w:rFonts w:ascii="Calibri" w:hAnsi="Calibri"/>
          <w:b/>
          <w:bCs/>
          <w:i/>
          <w:iCs/>
        </w:rPr>
        <w:t>ovvero, in alternativa</w:t>
      </w:r>
      <w:r w:rsidRPr="00622E8F">
        <w:rPr>
          <w:rFonts w:ascii="Calibri" w:hAnsi="Calibri"/>
        </w:rPr>
        <w:t xml:space="preserve">: l’Assicuratore] sarà liberato dal vincolo di cui alla presente fideiussione solo con il consenso espresso in forma scritta dalla Consip </w:t>
      </w:r>
      <w:proofErr w:type="gramStart"/>
      <w:r w:rsidRPr="00622E8F">
        <w:rPr>
          <w:rFonts w:ascii="Calibri" w:hAnsi="Calibri"/>
        </w:rPr>
        <w:t>S.p.A..</w:t>
      </w:r>
      <w:proofErr w:type="gramEnd"/>
      <w:r w:rsidRPr="00622E8F">
        <w:rPr>
          <w:rFonts w:ascii="Calibri" w:hAnsi="Calibri"/>
        </w:rPr>
        <w:t xml:space="preserve">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lastRenderedPageBreak/>
        <w:t xml:space="preserve">La presente fideiussione non potrà formare oggetto di cessione a terzi, ad alcun titolo o causa, da parte della Consip S.p.A. </w:t>
      </w:r>
    </w:p>
    <w:p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In caso di controversia tra l’Istituto [</w:t>
      </w:r>
      <w:r w:rsidRPr="00622E8F">
        <w:rPr>
          <w:rFonts w:ascii="Calibri" w:hAnsi="Calibri"/>
          <w:b/>
          <w:bCs/>
          <w:i/>
          <w:iCs/>
        </w:rPr>
        <w:t>ovvero, in alternativa</w:t>
      </w:r>
      <w:r w:rsidRPr="00622E8F">
        <w:rPr>
          <w:rStyle w:val="Corsivo"/>
          <w:rFonts w:ascii="Calibri" w:hAnsi="Calibri"/>
        </w:rPr>
        <w:t>:</w:t>
      </w:r>
      <w:r w:rsidRPr="00622E8F">
        <w:rPr>
          <w:rFonts w:ascii="Calibri" w:hAnsi="Calibri"/>
        </w:rPr>
        <w:t xml:space="preserve"> la Società, </w:t>
      </w:r>
      <w:r w:rsidRPr="00622E8F">
        <w:rPr>
          <w:rFonts w:ascii="Calibri" w:hAnsi="Calibri"/>
          <w:b/>
          <w:bCs/>
          <w:i/>
          <w:iCs/>
        </w:rPr>
        <w:t>ovvero, in alternativa</w:t>
      </w:r>
      <w:r w:rsidRPr="00622E8F">
        <w:rPr>
          <w:rFonts w:ascii="Calibri" w:hAnsi="Calibri"/>
        </w:rPr>
        <w:t xml:space="preserve">: l’Assicuratore] e la Consip S.p.A. è competente in via esclusiva il </w:t>
      </w:r>
      <w:r w:rsidRPr="00622E8F">
        <w:rPr>
          <w:rFonts w:ascii="Calibri" w:hAnsi="Calibri"/>
          <w:b/>
        </w:rPr>
        <w:t>Foro di Roma.</w:t>
      </w:r>
    </w:p>
    <w:p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rsidR="006A469E" w:rsidRPr="00622E8F" w:rsidRDefault="006A469E" w:rsidP="006A469E">
      <w:pPr>
        <w:pStyle w:val="Indirizzo"/>
        <w:rPr>
          <w:rFonts w:ascii="Calibri" w:hAnsi="Calibri"/>
        </w:rPr>
        <w:sectPr w:rsidR="006A469E" w:rsidRPr="00622E8F" w:rsidSect="006A469E">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titlePg/>
          <w:docGrid w:linePitch="360"/>
        </w:sectPr>
      </w:pPr>
      <w:r w:rsidRPr="00622E8F">
        <w:rPr>
          <w:rFonts w:ascii="Calibri" w:hAnsi="Calibri"/>
        </w:rPr>
        <w:t>(</w:t>
      </w:r>
      <w:proofErr w:type="spellStart"/>
      <w:r w:rsidRPr="00622E8F">
        <w:rPr>
          <w:rStyle w:val="StileIndirizzoGrassettoCorsivoCarattere"/>
          <w:rFonts w:ascii="Calibri" w:hAnsi="Calibri"/>
        </w:rPr>
        <w:t>ovvero:</w:t>
      </w:r>
      <w:r w:rsidRPr="00622E8F">
        <w:rPr>
          <w:rFonts w:ascii="Calibri" w:hAnsi="Calibri" w:cs="Trebuchet MS"/>
        </w:rPr>
        <w:t>L’Assicuratore</w:t>
      </w:r>
      <w:proofErr w:type="spellEnd"/>
      <w:r w:rsidRPr="00622E8F">
        <w:rPr>
          <w:rFonts w:ascii="Calibri" w:hAnsi="Calibri"/>
        </w:rPr>
        <w:t>)</w:t>
      </w:r>
    </w:p>
    <w:p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622E8F">
        <w:rPr>
          <w:rFonts w:ascii="Calibri" w:hAnsi="Calibri" w:cs="TimesNewRoman,Bold"/>
          <w:b/>
          <w:bCs/>
          <w:i/>
          <w:color w:val="1B35A5"/>
        </w:rPr>
        <w:t>se Garante Banca o Intermediario finanziario</w:t>
      </w:r>
      <w:r w:rsidRPr="00622E8F">
        <w:rPr>
          <w:rFonts w:ascii="Calibri" w:hAnsi="Calibri" w:cs="TimesNewRoman,Bold"/>
          <w:b/>
          <w:bCs/>
        </w:rPr>
        <w:t>)</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622E8F">
        <w:rPr>
          <w:rFonts w:ascii="Calibri" w:hAnsi="Calibri" w:cs="TimesNewRoman,Bold"/>
          <w:b/>
          <w:bCs/>
          <w:i/>
          <w:color w:val="1B35A5"/>
        </w:rPr>
        <w:t>se Garante Impresa di assicurazione</w:t>
      </w:r>
      <w:r w:rsidRPr="00622E8F">
        <w:rPr>
          <w:rFonts w:ascii="Calibri" w:hAnsi="Calibri" w:cs="TimesNewRoman,Bold"/>
          <w:b/>
          <w:bCs/>
        </w:rPr>
        <w:t>)</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ai sensi dell’art. 103, comma 1, del d.lgs. n. 50/2016</w:t>
      </w:r>
    </w:p>
    <w:p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 (art. 103, comma 1, del Codice)</w:t>
      </w:r>
    </w:p>
    <w:p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proofErr w:type="spellStart"/>
      <w:r w:rsidRPr="00622E8F">
        <w:rPr>
          <w:rFonts w:ascii="Calibri" w:hAnsi="Calibri" w:cs="TimesNewRoman"/>
        </w:rPr>
        <w:t>d.m.</w:t>
      </w:r>
      <w:proofErr w:type="spellEnd"/>
      <w:r w:rsidRPr="00622E8F">
        <w:rPr>
          <w:rFonts w:ascii="Calibri" w:hAnsi="Calibri" w:cs="TimesNewRoman"/>
        </w:rPr>
        <w:t xml:space="preserve"> del Ministero dello Sviluppo economico 19 gennaio 2018, n. 31</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622E8F">
        <w:rPr>
          <w:rFonts w:ascii="Calibri" w:hAnsi="Calibri" w:cs="TimesNewRoman,Bold"/>
          <w:b/>
          <w:bCs/>
          <w:i/>
          <w:color w:val="1B35A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 xml:space="preserve">_________ Via ________ CAP </w:t>
      </w:r>
      <w:proofErr w:type="spellStart"/>
      <w:r w:rsidRPr="00622E8F">
        <w:rPr>
          <w:rFonts w:ascii="Calibri" w:hAnsi="Calibri" w:cs="TimesNewRoman"/>
        </w:rPr>
        <w:t>Prov</w:t>
      </w:r>
      <w:proofErr w:type="spellEnd"/>
      <w:r w:rsidRPr="00622E8F">
        <w:rPr>
          <w:rFonts w:ascii="Calibri" w:hAnsi="Calibri" w:cs="TimesNewRoman"/>
        </w:rPr>
        <w:t>. __________ C.F./P.IVA ___________ PEC _____</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 xml:space="preserve">_________ </w:t>
      </w:r>
      <w:proofErr w:type="spellStart"/>
      <w:r w:rsidRPr="00622E8F">
        <w:rPr>
          <w:rFonts w:ascii="Calibri" w:hAnsi="Calibri" w:cs="TimesNewRoman"/>
        </w:rPr>
        <w:t>Prov</w:t>
      </w:r>
      <w:proofErr w:type="spellEnd"/>
      <w:r w:rsidRPr="00622E8F">
        <w:rPr>
          <w:rFonts w:ascii="Calibri" w:hAnsi="Calibri" w:cs="TimesNewRoman"/>
        </w:rPr>
        <w:t>. ________ C.F./P.IVA __________ PEC _____________</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w:t>
      </w:r>
      <w:proofErr w:type="spellStart"/>
      <w:r w:rsidRPr="00622E8F">
        <w:rPr>
          <w:rFonts w:ascii="Calibri" w:hAnsi="Calibri" w:cs="TimesNewRoman"/>
        </w:rPr>
        <w:t>Prov</w:t>
      </w:r>
      <w:proofErr w:type="spellEnd"/>
      <w:r w:rsidRPr="00622E8F">
        <w:rPr>
          <w:rFonts w:ascii="Calibri" w:hAnsi="Calibri" w:cs="TimesNewRoman"/>
        </w:rPr>
        <w:t xml:space="preserve">. Roma C.F./P.IVA 05359681003 PEC </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CIG _______________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Luogo di esecuzione: __________________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rsidR="006A469E" w:rsidRPr="00622E8F" w:rsidRDefault="006A469E" w:rsidP="006A469E">
      <w:pPr>
        <w:autoSpaceDE w:val="0"/>
        <w:autoSpaceDN w:val="0"/>
        <w:adjustRightInd w:val="0"/>
        <w:rPr>
          <w:rFonts w:ascii="Calibri" w:hAnsi="Calibri" w:cs="TimesNewRoman"/>
          <w:i/>
        </w:rPr>
      </w:pPr>
      <w:r w:rsidRPr="00622E8F">
        <w:rPr>
          <w:rFonts w:ascii="Calibri" w:hAnsi="Calibri" w:cs="TimesNewRoman"/>
        </w:rPr>
        <w:t>Somma garantita (€) _______</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proofErr w:type="spellStart"/>
      <w:r w:rsidRPr="00622E8F">
        <w:rPr>
          <w:rFonts w:ascii="Calibri" w:hAnsi="Calibri" w:cs="TimesNewRoman,Bold"/>
          <w:b/>
          <w:bCs/>
        </w:rPr>
        <w:t>d.m.</w:t>
      </w:r>
      <w:proofErr w:type="spellEnd"/>
      <w:r w:rsidRPr="00622E8F">
        <w:rPr>
          <w:rFonts w:ascii="Calibri" w:hAnsi="Calibri" w:cs="TimesNewRoman,Bold"/>
          <w:b/>
          <w:bCs/>
        </w:rPr>
        <w:t xml:space="preserve"> del Ministero dello Sviluppo economico 19 gennaio 2018, n. 31)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in conformità all'art. 103, commi 1 e 2,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 xml:space="preserve">e risultano titolari di contratti di fornitura derivanti da </w:t>
      </w:r>
      <w:r w:rsidR="006318E7">
        <w:rPr>
          <w:rFonts w:ascii="Calibri" w:hAnsi="Calibri"/>
          <w:iCs/>
          <w:lang w:eastAsia="ar-SA"/>
        </w:rPr>
        <w:t xml:space="preserve"> Contratti Esecutivi</w:t>
      </w:r>
      <w:r w:rsidRPr="00622E8F">
        <w:rPr>
          <w:rFonts w:ascii="Calibri" w:hAnsi="Calibri"/>
          <w:iCs/>
          <w:lang w:eastAsia="ar-SA"/>
        </w:rPr>
        <w:t xml:space="preserve"> (d’ora in poi Amministrazioni)</w:t>
      </w:r>
      <w:r w:rsidRPr="00622E8F">
        <w:rPr>
          <w:rFonts w:ascii="Calibri" w:hAnsi="Calibri" w:cs="TimesNewRoman"/>
        </w:rPr>
        <w:t>, nei limiti della somma garantita indicata nella Scheda Tecnica, al risarcimento dei danni da questi subiti in conseguenza del mancato o inesatto adempimento da parte del Contraente delle obbligazioni previste ne</w:t>
      </w:r>
      <w:r w:rsidRPr="00622E8F">
        <w:rPr>
          <w:rFonts w:ascii="Calibri" w:hAnsi="Calibri"/>
          <w:iCs/>
          <w:u w:val="single"/>
          <w:lang w:eastAsia="ar-SA"/>
        </w:rPr>
        <w:t xml:space="preserve">i </w:t>
      </w:r>
      <w:r w:rsidRPr="00622E8F">
        <w:rPr>
          <w:rFonts w:ascii="Calibri" w:hAnsi="Calibri"/>
          <w:iCs/>
          <w:lang w:eastAsia="ar-SA"/>
        </w:rPr>
        <w:t xml:space="preserve">contratti di fornitura derivanti da </w:t>
      </w:r>
      <w:r w:rsidR="006318E7">
        <w:rPr>
          <w:rFonts w:ascii="Calibri" w:hAnsi="Calibri"/>
          <w:iCs/>
          <w:lang w:eastAsia="ar-SA"/>
        </w:rPr>
        <w:t>Contratti Esecutivi</w:t>
      </w:r>
      <w:r w:rsidRPr="00622E8F">
        <w:rPr>
          <w:rFonts w:ascii="Calibri" w:hAnsi="Calibri"/>
          <w:iCs/>
          <w:lang w:eastAsia="ar-SA"/>
        </w:rPr>
        <w:t xml:space="preserve">,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103, del Codice, in caso di: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 xml:space="preserve">contratti di fornitura derivanti da </w:t>
      </w:r>
      <w:r w:rsidR="006318E7">
        <w:rPr>
          <w:rFonts w:ascii="Calibri" w:hAnsi="Calibri"/>
          <w:iCs/>
          <w:lang w:eastAsia="ar-SA"/>
        </w:rPr>
        <w:t>Contratti Esecutivi</w:t>
      </w:r>
      <w:r w:rsidR="006318E7" w:rsidRPr="00622E8F">
        <w:rPr>
          <w:rFonts w:ascii="Calibri" w:hAnsi="Calibri"/>
          <w:iCs/>
          <w:lang w:eastAsia="ar-SA"/>
        </w:rPr>
        <w:t xml:space="preserve"> </w:t>
      </w:r>
      <w:r w:rsidRPr="00622E8F">
        <w:rPr>
          <w:rFonts w:ascii="Calibri" w:hAnsi="Calibri"/>
          <w:iCs/>
          <w:lang w:eastAsia="ar-SA"/>
        </w:rPr>
        <w:t>e dall’Accordo Quadro (ivi inclusi tutti gli allegati);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lastRenderedPageBreak/>
        <w:t>L'efficacia della garanzia:</w:t>
      </w:r>
    </w:p>
    <w:p w:rsidR="006A469E" w:rsidRPr="00622E8F" w:rsidRDefault="006A469E" w:rsidP="006A469E">
      <w:pPr>
        <w:ind w:left="426" w:right="16"/>
        <w:rPr>
          <w:rFonts w:ascii="Calibri" w:hAnsi="Calibri"/>
          <w:iCs/>
          <w:u w:val="single"/>
          <w:lang w:eastAsia="ar-SA"/>
        </w:rPr>
      </w:pPr>
      <w:r w:rsidRPr="00622E8F">
        <w:rPr>
          <w:rFonts w:ascii="Calibri" w:hAnsi="Calibri"/>
          <w:iCs/>
          <w:u w:val="single"/>
          <w:lang w:eastAsia="ar-SA"/>
        </w:rPr>
        <w:t>a) decorre dalla data di stipula dell’Accordo Quadro;</w:t>
      </w:r>
    </w:p>
    <w:p w:rsidR="006A469E" w:rsidRPr="00622E8F" w:rsidRDefault="006A469E" w:rsidP="006A469E">
      <w:pPr>
        <w:ind w:left="426" w:right="16"/>
        <w:rPr>
          <w:rFonts w:ascii="Calibri" w:hAnsi="Calibri"/>
          <w:iCs/>
          <w:u w:val="single"/>
          <w:lang w:eastAsia="ar-SA"/>
        </w:rPr>
      </w:pPr>
      <w:r w:rsidRPr="00622E8F">
        <w:rPr>
          <w:rFonts w:ascii="Calibri" w:hAnsi="Calibri"/>
          <w:iCs/>
          <w:u w:val="single"/>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622E8F">
        <w:rPr>
          <w:rFonts w:ascii="Calibri" w:hAnsi="Calibri"/>
          <w:iCs/>
          <w:u w:val="single"/>
          <w:lang w:eastAsia="ar-SA"/>
        </w:rPr>
        <w:t xml:space="preserve"> – affidato in vigenza dell’Accordo Quadro anche eventualmente prorogato -  </w:t>
      </w:r>
      <w:r w:rsidRPr="00622E8F">
        <w:rPr>
          <w:rFonts w:ascii="Calibri" w:hAnsi="Calibri"/>
          <w:iCs/>
          <w:u w:val="single"/>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103, commi 1 e 5, del Codice), salvo quanto indicato nell’ultimo comma dell’art. 1. </w:t>
      </w:r>
    </w:p>
    <w:p w:rsidR="006A469E" w:rsidRPr="00622E8F" w:rsidRDefault="006A469E" w:rsidP="006A469E">
      <w:pPr>
        <w:ind w:right="16"/>
        <w:rPr>
          <w:rFonts w:ascii="Calibri" w:hAnsi="Calibri"/>
          <w:iCs/>
          <w:u w:val="single"/>
          <w:lang w:eastAsia="ar-SA"/>
        </w:rPr>
      </w:pPr>
      <w:r w:rsidRPr="00622E8F">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622E8F" w:rsidRDefault="006A469E" w:rsidP="006A469E">
      <w:pPr>
        <w:ind w:right="16"/>
        <w:rPr>
          <w:rFonts w:ascii="Calibri" w:hAnsi="Calibri"/>
          <w:iCs/>
          <w:u w:val="single"/>
          <w:lang w:eastAsia="ar-SA"/>
        </w:rPr>
      </w:pPr>
      <w:r w:rsidRPr="00622E8F">
        <w:rPr>
          <w:rFonts w:ascii="Calibri" w:hAnsi="Calibri"/>
          <w:iCs/>
          <w:u w:val="single"/>
          <w:lang w:eastAsia="ar-SA"/>
        </w:rPr>
        <w:t>Il mancato pagamento del premio/commissione non può essere opposto alle Amministrazioni.</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somma garantita dalla presente fideiussione è calcolata in conformità a quanto disposto dall'art. 103, comma 1, del Codice, ed è pari al: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w:t>
      </w:r>
      <w:r w:rsidR="006318E7">
        <w:rPr>
          <w:rFonts w:ascii="Calibri" w:hAnsi="Calibri" w:cs="TimesNewRoman"/>
        </w:rPr>
        <w:t>4,65</w:t>
      </w:r>
      <w:r w:rsidRPr="00622E8F">
        <w:rPr>
          <w:rFonts w:ascii="Calibri" w:hAnsi="Calibri" w:cs="TimesNewRoman"/>
        </w:rPr>
        <w:t xml:space="preserve"> </w:t>
      </w:r>
      <w:r w:rsidRPr="00622E8F">
        <w:rPr>
          <w:rFonts w:ascii="Calibri" w:hAnsi="Calibri"/>
        </w:rPr>
        <w:t>dell’importo massimo   dell’Accordo Quadro</w:t>
      </w:r>
      <w:r w:rsidRPr="00622E8F">
        <w:rPr>
          <w:rFonts w:ascii="Calibri" w:hAnsi="Calibri" w:cs="TimesNewRoman"/>
        </w:rPr>
        <w:t>, nel caso di aggiudicazione con ribassi d’asta minori o uguali al 10%;</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b) </w:t>
      </w:r>
      <w:r w:rsidR="006318E7">
        <w:rPr>
          <w:rFonts w:ascii="Calibri" w:hAnsi="Calibri" w:cs="TimesNewRoman"/>
        </w:rPr>
        <w:t>4,65</w:t>
      </w:r>
      <w:r w:rsidRPr="00622E8F">
        <w:rPr>
          <w:rFonts w:ascii="Calibri" w:hAnsi="Calibri" w:cs="TimesNewRoman"/>
        </w:rPr>
        <w:t xml:space="preserve"> % </w:t>
      </w:r>
      <w:r w:rsidRPr="00622E8F">
        <w:rPr>
          <w:rFonts w:ascii="Calibri" w:hAnsi="Calibri"/>
        </w:rPr>
        <w:t xml:space="preserve">dell’importo </w:t>
      </w:r>
      <w:proofErr w:type="gramStart"/>
      <w:r w:rsidRPr="00622E8F">
        <w:rPr>
          <w:rFonts w:ascii="Calibri" w:hAnsi="Calibri"/>
        </w:rPr>
        <w:t xml:space="preserve">massimo  </w:t>
      </w:r>
      <w:r w:rsidRPr="00622E8F">
        <w:rPr>
          <w:rFonts w:ascii="Calibri" w:hAnsi="Calibri" w:cs="TimesNewRoman"/>
        </w:rPr>
        <w:t>,</w:t>
      </w:r>
      <w:proofErr w:type="gramEnd"/>
      <w:r w:rsidRPr="00622E8F">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garanzia è progressivamente svincolata in via automatica a misura dell'avanzamento dell'esecuzione, in conformità a quanto disposto dall’art. 103, comma 5, del Codice e nell’Accordo Quadro all’art. 1</w:t>
      </w:r>
      <w:r w:rsidR="006318E7">
        <w:rPr>
          <w:rFonts w:ascii="Calibri" w:hAnsi="Calibri" w:cs="TimesNewRoman"/>
        </w:rPr>
        <w:t>3</w:t>
      </w:r>
      <w:r w:rsidRPr="00622E8F">
        <w:rPr>
          <w:rFonts w:ascii="Calibri" w:hAnsi="Calibri" w:cs="TimesNewRoman"/>
        </w:rPr>
        <w:t>.</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non gode del beneficio della preventiva escussione del debitore principale di cui all’art. 1944 cod. civ. e rinuncia all'eccezione di cui all'art. 1957, comma 2, cod. civ.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Garante risultassero parzialmente o totalmente non dovute dal Contraente o dal Garante (art. 104, </w:t>
      </w:r>
      <w:r w:rsidRPr="00622E8F">
        <w:rPr>
          <w:rFonts w:ascii="Calibri" w:hAnsi="Calibri" w:cs="TimesNewRoman"/>
        </w:rPr>
        <w:lastRenderedPageBreak/>
        <w:t>comma 10, del Codice).</w:t>
      </w:r>
    </w:p>
    <w:p w:rsidR="006A469E" w:rsidRPr="00622E8F" w:rsidRDefault="006A469E" w:rsidP="006A469E">
      <w:pPr>
        <w:autoSpaceDE w:val="0"/>
        <w:autoSpaceDN w:val="0"/>
        <w:adjustRightInd w:val="0"/>
        <w:rPr>
          <w:rFonts w:ascii="Calibri" w:hAnsi="Calibri" w:cs="TimesNewRoman"/>
        </w:rPr>
      </w:pPr>
    </w:p>
    <w:p w:rsidR="00622E8F"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B12D05">
        <w:rPr>
          <w:rFonts w:ascii="Calibri" w:hAnsi="Calibri" w:cs="TimesNewRoman,Bold"/>
          <w:b/>
          <w:bCs/>
        </w:rPr>
        <w:t>Regresso</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w:t>
      </w:r>
      <w:r w:rsidRPr="006318E7">
        <w:rPr>
          <w:rFonts w:ascii="Calibri" w:hAnsi="Calibri" w:cs="TimesNewRoman"/>
        </w:rPr>
        <w:t xml:space="preserve">di </w:t>
      </w:r>
      <w:r w:rsidRPr="00B12D05">
        <w:rPr>
          <w:rFonts w:ascii="Calibri" w:hAnsi="Calibri" w:cs="TimesNewRoman"/>
        </w:rPr>
        <w:t>regresso</w:t>
      </w:r>
      <w:r>
        <w:rPr>
          <w:rFonts w:ascii="Calibri" w:hAnsi="Calibri" w:cs="TimesNewRoman"/>
        </w:rPr>
        <w:t xml:space="preserve"> verso il Contraente per le somme pagate in forza della presente garanzia (art. 104, comma 10, del Codice). Le Amministrazioni faciliteranno le azioni di recupero fornendo al Garante tutti gli elementi utili in loro possesso.</w:t>
      </w:r>
    </w:p>
    <w:p w:rsidR="00622E8F" w:rsidRDefault="00622E8F" w:rsidP="00622E8F">
      <w:pPr>
        <w:autoSpaceDE w:val="0"/>
        <w:autoSpaceDN w:val="0"/>
        <w:adjustRightInd w:val="0"/>
        <w:rPr>
          <w:rFonts w:ascii="Calibri" w:hAnsi="Calibri" w:cs="TimesNewRoman"/>
        </w:rPr>
      </w:pPr>
    </w:p>
    <w:p w:rsidR="00622E8F" w:rsidRPr="00B12D05" w:rsidRDefault="00622E8F" w:rsidP="00622E8F">
      <w:pPr>
        <w:autoSpaceDE w:val="0"/>
        <w:autoSpaceDN w:val="0"/>
        <w:adjustRightInd w:val="0"/>
        <w:rPr>
          <w:rFonts w:ascii="Calibri" w:hAnsi="Calibri" w:cs="TimesNewRoman,Bold"/>
          <w:b/>
          <w:bCs/>
        </w:rPr>
      </w:pPr>
      <w:r w:rsidRPr="00B12D05">
        <w:rPr>
          <w:rFonts w:ascii="Calibri" w:hAnsi="Calibri" w:cs="TimesNewRoman,Bold"/>
          <w:b/>
          <w:bCs/>
        </w:rPr>
        <w:t>Art. 6 - Sanzioni internazionali</w:t>
      </w:r>
    </w:p>
    <w:p w:rsidR="00622E8F" w:rsidRDefault="00622E8F" w:rsidP="00622E8F">
      <w:pPr>
        <w:autoSpaceDE w:val="0"/>
        <w:autoSpaceDN w:val="0"/>
        <w:adjustRightInd w:val="0"/>
        <w:rPr>
          <w:rFonts w:ascii="Calibri" w:hAnsi="Calibri" w:cs="TimesNewRoman"/>
        </w:rPr>
      </w:pPr>
      <w:r w:rsidRPr="00B12D05">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rsidR="00622E8F" w:rsidRDefault="00622E8F" w:rsidP="00622E8F">
      <w:pPr>
        <w:autoSpaceDE w:val="0"/>
        <w:autoSpaceDN w:val="0"/>
        <w:adjustRightInd w:val="0"/>
        <w:rPr>
          <w:rFonts w:ascii="Calibri" w:hAnsi="Calibri" w:cs="TimesNewRoman"/>
        </w:rPr>
      </w:pPr>
    </w:p>
    <w:p w:rsidR="00622E8F" w:rsidRDefault="00622E8F" w:rsidP="00622E8F">
      <w:pPr>
        <w:autoSpaceDE w:val="0"/>
        <w:autoSpaceDN w:val="0"/>
        <w:adjustRightInd w:val="0"/>
        <w:rPr>
          <w:rFonts w:ascii="Calibri" w:hAnsi="Calibri" w:cs="TimesNewRoman,Bold"/>
          <w:b/>
          <w:bCs/>
        </w:rPr>
      </w:pPr>
      <w:r w:rsidRPr="006318E7">
        <w:rPr>
          <w:rFonts w:ascii="Calibri" w:hAnsi="Calibri" w:cs="TimesNewRoman,Bold"/>
          <w:b/>
          <w:bCs/>
        </w:rPr>
        <w:t xml:space="preserve">Art. </w:t>
      </w:r>
      <w:r w:rsidRPr="00B12D05">
        <w:rPr>
          <w:rFonts w:ascii="Calibri" w:hAnsi="Calibri" w:cs="TimesNewRoman,Bold"/>
          <w:b/>
          <w:bCs/>
        </w:rPr>
        <w:t>7</w:t>
      </w:r>
      <w:r w:rsidRPr="006318E7">
        <w:rPr>
          <w:rFonts w:ascii="Calibri" w:hAnsi="Calibri" w:cs="TimesNewRoman,Bold"/>
          <w:b/>
          <w:bCs/>
        </w:rPr>
        <w:t xml:space="preserve"> - Forma delle comunicazioni</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622E8F" w:rsidRDefault="00622E8F" w:rsidP="00622E8F">
      <w:pPr>
        <w:autoSpaceDE w:val="0"/>
        <w:autoSpaceDN w:val="0"/>
        <w:adjustRightInd w:val="0"/>
        <w:rPr>
          <w:rFonts w:ascii="Calibri" w:hAnsi="Calibri" w:cs="TimesNewRoman"/>
        </w:rPr>
      </w:pPr>
    </w:p>
    <w:p w:rsidR="00622E8F" w:rsidRDefault="00622E8F" w:rsidP="00622E8F">
      <w:pPr>
        <w:autoSpaceDE w:val="0"/>
        <w:autoSpaceDN w:val="0"/>
        <w:adjustRightInd w:val="0"/>
        <w:rPr>
          <w:rFonts w:ascii="Calibri" w:hAnsi="Calibri" w:cs="TimesNewRoman,Bold"/>
          <w:b/>
          <w:bCs/>
        </w:rPr>
      </w:pPr>
      <w:r w:rsidRPr="006318E7">
        <w:rPr>
          <w:rFonts w:ascii="Calibri" w:hAnsi="Calibri" w:cs="TimesNewRoman,Bold"/>
          <w:b/>
          <w:bCs/>
        </w:rPr>
        <w:t xml:space="preserve">Art. </w:t>
      </w:r>
      <w:r w:rsidRPr="00B12D05">
        <w:rPr>
          <w:rFonts w:ascii="Calibri" w:hAnsi="Calibri" w:cs="TimesNewRoman,Bold"/>
          <w:b/>
          <w:bCs/>
        </w:rPr>
        <w:t>8</w:t>
      </w:r>
      <w:r w:rsidRPr="006318E7">
        <w:rPr>
          <w:rFonts w:ascii="Calibri" w:hAnsi="Calibri" w:cs="TimesNewRoman,Bold"/>
          <w:b/>
          <w:bCs/>
        </w:rPr>
        <w:t xml:space="preserve"> - Foro competente</w:t>
      </w:r>
      <w:r>
        <w:rPr>
          <w:rFonts w:ascii="Calibri" w:hAnsi="Calibri" w:cs="TimesNewRoman,Bold"/>
          <w:b/>
          <w:bCs/>
        </w:rPr>
        <w:t xml:space="preserve"> </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In caso di controversia fra il Garante e le Amministrazioni, il foro competente è quello determinato ai sensi dell’art. 25 cod. </w:t>
      </w:r>
      <w:proofErr w:type="spellStart"/>
      <w:r>
        <w:rPr>
          <w:rFonts w:ascii="Calibri" w:hAnsi="Calibri" w:cs="TimesNewRoman"/>
        </w:rPr>
        <w:t>proc</w:t>
      </w:r>
      <w:proofErr w:type="spellEnd"/>
      <w:r>
        <w:rPr>
          <w:rFonts w:ascii="Calibri" w:hAnsi="Calibri" w:cs="TimesNewRoman"/>
        </w:rPr>
        <w:t xml:space="preserve">. civ. </w:t>
      </w:r>
    </w:p>
    <w:p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S.p.a., il foro competente è quello di Roma.</w:t>
      </w:r>
    </w:p>
    <w:p w:rsidR="00622E8F" w:rsidRDefault="00622E8F" w:rsidP="00622E8F">
      <w:pPr>
        <w:autoSpaceDE w:val="0"/>
        <w:autoSpaceDN w:val="0"/>
        <w:adjustRightInd w:val="0"/>
        <w:rPr>
          <w:rFonts w:ascii="Calibri" w:hAnsi="Calibri" w:cs="TimesNewRoman"/>
        </w:rPr>
      </w:pPr>
    </w:p>
    <w:p w:rsidR="00622E8F" w:rsidRDefault="00622E8F" w:rsidP="00622E8F">
      <w:pPr>
        <w:autoSpaceDE w:val="0"/>
        <w:autoSpaceDN w:val="0"/>
        <w:adjustRightInd w:val="0"/>
        <w:rPr>
          <w:rFonts w:ascii="Calibri" w:hAnsi="Calibri" w:cs="TimesNewRoman,Bold"/>
          <w:b/>
          <w:bCs/>
        </w:rPr>
      </w:pPr>
      <w:r>
        <w:rPr>
          <w:rFonts w:ascii="Calibri" w:hAnsi="Calibri" w:cs="TimesNewRoman,Bold"/>
          <w:b/>
          <w:bCs/>
        </w:rPr>
        <w:t>Art</w:t>
      </w:r>
      <w:r w:rsidRPr="006318E7">
        <w:rPr>
          <w:rFonts w:ascii="Calibri" w:hAnsi="Calibri" w:cs="TimesNewRoman,Bold"/>
          <w:b/>
          <w:bCs/>
        </w:rPr>
        <w:t xml:space="preserve">. </w:t>
      </w:r>
      <w:r w:rsidRPr="00B12D05">
        <w:rPr>
          <w:rFonts w:ascii="Calibri" w:hAnsi="Calibri" w:cs="TimesNewRoman,Bold"/>
          <w:b/>
          <w:bCs/>
        </w:rPr>
        <w:t>9</w:t>
      </w:r>
      <w:r w:rsidRPr="006318E7">
        <w:rPr>
          <w:rFonts w:ascii="Calibri" w:hAnsi="Calibri" w:cs="TimesNewRoman,Bold"/>
          <w:b/>
          <w:bCs/>
        </w:rPr>
        <w:t xml:space="preserve"> - Rinvio alle norme di legge</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rsidR="006A469E" w:rsidRPr="00622E8F"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rsidR="006A469E" w:rsidRPr="00CF63DC" w:rsidRDefault="006A469E" w:rsidP="006A469E">
      <w:pPr>
        <w:autoSpaceDE w:val="0"/>
        <w:autoSpaceDN w:val="0"/>
        <w:adjustRightInd w:val="0"/>
        <w:rPr>
          <w:rFonts w:ascii="Calibri" w:hAnsi="Calibri"/>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rPr>
          <w:rFonts w:ascii="Calibri" w:hAnsi="Calibri" w:cs="TrebuchetMS,Bold"/>
          <w:b/>
          <w:bCs/>
        </w:rPr>
      </w:pPr>
    </w:p>
    <w:p w:rsidR="006A469E" w:rsidRPr="009246BE" w:rsidRDefault="006A469E" w:rsidP="006A469E">
      <w:pPr>
        <w:widowControl/>
        <w:autoSpaceDE w:val="0"/>
        <w:autoSpaceDN w:val="0"/>
        <w:adjustRightInd w:val="0"/>
        <w:jc w:val="left"/>
        <w:rPr>
          <w:rFonts w:ascii="Calibri" w:hAnsi="Calibri"/>
        </w:rPr>
      </w:pPr>
    </w:p>
    <w:p w:rsidR="0051269D" w:rsidRDefault="0051269D"/>
    <w:sectPr w:rsidR="0051269D">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2EB" w:rsidRDefault="00F502EB" w:rsidP="006A469E">
      <w:pPr>
        <w:spacing w:line="240" w:lineRule="auto"/>
      </w:pPr>
      <w:r>
        <w:separator/>
      </w:r>
    </w:p>
  </w:endnote>
  <w:endnote w:type="continuationSeparator" w:id="0">
    <w:p w:rsidR="00F502EB" w:rsidRDefault="00F502EB"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F502EB"/>
  <w:p w:rsidR="00D57095" w:rsidRDefault="00F502EB"/>
  <w:p w:rsidR="00D57095" w:rsidRDefault="00F502E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rsidTr="00CF63DC">
      <w:trPr>
        <w:cantSplit/>
      </w:trPr>
      <w:tc>
        <w:tcPr>
          <w:tcW w:w="4313" w:type="pct"/>
        </w:tcPr>
        <w:p w:rsidR="0099309A" w:rsidRDefault="0099309A" w:rsidP="0099309A">
          <w:pPr>
            <w:pStyle w:val="Pidipagina"/>
            <w:pBdr>
              <w:top w:val="none" w:sz="0" w:space="0" w:color="auto"/>
            </w:pBdr>
            <w:spacing w:line="240" w:lineRule="auto"/>
            <w:rPr>
              <w:rFonts w:ascii="Calibri" w:hAnsi="Calibri" w:cs="Trebuchet MS"/>
              <w:i/>
              <w:color w:val="0000B4"/>
              <w:szCs w:val="16"/>
            </w:rPr>
          </w:pPr>
          <w:r w:rsidRPr="00B64294">
            <w:rPr>
              <w:rFonts w:ascii="Calibri" w:hAnsi="Calibri"/>
              <w:szCs w:val="16"/>
            </w:rPr>
            <w:t>Accordo Quadro ex art. 54, comma 3, del D.lgs. N. 50/2016, suddiviso in 8 lotti, per l’affidamento di servizi specialistici di supporto alla Digital Transformation per la PA – Ed. 2 - ID 2536</w:t>
          </w:r>
          <w:r>
            <w:rPr>
              <w:rFonts w:ascii="Calibri" w:hAnsi="Calibri"/>
              <w:szCs w:val="16"/>
            </w:rPr>
            <w:t xml:space="preserve"> </w:t>
          </w:r>
        </w:p>
        <w:p w:rsidR="00D57095" w:rsidRPr="0035699D" w:rsidRDefault="0099309A" w:rsidP="00B12D05">
          <w:pPr>
            <w:pStyle w:val="Pidipagina"/>
            <w:pBdr>
              <w:top w:val="none" w:sz="0" w:space="0" w:color="auto"/>
            </w:pBdr>
            <w:rPr>
              <w:szCs w:val="16"/>
            </w:rPr>
          </w:pPr>
          <w:r w:rsidRPr="009964DA">
            <w:rPr>
              <w:rFonts w:ascii="Calibri" w:hAnsi="Calibri"/>
            </w:rPr>
            <w:t>Allegato</w:t>
          </w:r>
          <w:r>
            <w:rPr>
              <w:rFonts w:ascii="Calibri" w:hAnsi="Calibri"/>
            </w:rPr>
            <w:t xml:space="preserve"> 10</w:t>
          </w:r>
          <w:r w:rsidRPr="009964DA">
            <w:rPr>
              <w:rFonts w:ascii="Calibri" w:hAnsi="Calibri"/>
            </w:rPr>
            <w:t xml:space="preserve"> – Facsimile Garanzia definitiva</w:t>
          </w:r>
          <w:r w:rsidR="0059255D">
            <w:rPr>
              <w:rFonts w:ascii="Calibri" w:hAnsi="Calibri"/>
            </w:rPr>
            <w:t xml:space="preserve"> </w:t>
          </w:r>
        </w:p>
      </w:tc>
      <w:tc>
        <w:tcPr>
          <w:tcW w:w="687" w:type="pct"/>
        </w:tcPr>
        <w:p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B12D05">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B12D05">
            <w:rPr>
              <w:rStyle w:val="Numeropagina"/>
              <w:b w:val="0"/>
              <w:noProof/>
            </w:rPr>
            <w:t>7</w:t>
          </w:r>
          <w:r>
            <w:rPr>
              <w:rStyle w:val="Numeropagina"/>
              <w:b w:val="0"/>
            </w:rPr>
            <w:fldChar w:fldCharType="end"/>
          </w:r>
        </w:p>
      </w:tc>
    </w:tr>
  </w:tbl>
  <w:p w:rsidR="00D57095" w:rsidRDefault="00F502EB">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69E" w:rsidRDefault="006A469E" w:rsidP="006A469E">
    <w:pPr>
      <w:tabs>
        <w:tab w:val="center" w:pos="7020"/>
        <w:tab w:val="right" w:pos="9638"/>
      </w:tabs>
      <w:suppressAutoHyphens/>
      <w:autoSpaceDE w:val="0"/>
      <w:spacing w:line="240" w:lineRule="auto"/>
      <w:rPr>
        <w:rFonts w:ascii="Calibri" w:hAnsi="Calibri" w:cs="Arial"/>
        <w:bCs/>
        <w:i/>
        <w:color w:val="0000B4"/>
        <w:kern w:val="1"/>
        <w:sz w:val="16"/>
        <w:szCs w:val="16"/>
        <w:lang w:eastAsia="ar-SA"/>
      </w:rPr>
    </w:pPr>
  </w:p>
  <w:p w:rsidR="00B64294" w:rsidRDefault="00B64294" w:rsidP="00B12D05">
    <w:pPr>
      <w:pStyle w:val="Pidipagina"/>
      <w:pBdr>
        <w:top w:val="none" w:sz="0" w:space="0" w:color="auto"/>
      </w:pBdr>
      <w:spacing w:line="240" w:lineRule="auto"/>
      <w:rPr>
        <w:rFonts w:ascii="Calibri" w:hAnsi="Calibri" w:cs="Trebuchet MS"/>
        <w:i/>
        <w:color w:val="0000B4"/>
        <w:szCs w:val="16"/>
      </w:rPr>
    </w:pPr>
    <w:r w:rsidRPr="00B64294">
      <w:rPr>
        <w:rFonts w:ascii="Calibri" w:hAnsi="Calibri"/>
        <w:szCs w:val="16"/>
      </w:rPr>
      <w:t>Accordo Quadro ex art. 54, comma 3, del D.lgs. N. 50/2016, suddiviso in 8 lotti, per l’affidamento di servizi specialistici di supporto alla Digital Transformation per la PA – Ed. 2 - ID 2536</w:t>
    </w:r>
    <w:r>
      <w:rPr>
        <w:rFonts w:ascii="Calibri" w:hAnsi="Calibri"/>
        <w:szCs w:val="16"/>
      </w:rPr>
      <w:t xml:space="preserve"> </w:t>
    </w:r>
  </w:p>
  <w:p w:rsidR="006A469E" w:rsidRDefault="006A469E" w:rsidP="006A469E">
    <w:pPr>
      <w:pStyle w:val="Pidipagina"/>
      <w:pBdr>
        <w:top w:val="none" w:sz="0" w:space="0" w:color="auto"/>
      </w:pBdr>
      <w:rPr>
        <w:rFonts w:ascii="Calibri" w:hAnsi="Calibri"/>
      </w:rPr>
    </w:pPr>
    <w:r w:rsidRPr="009964DA">
      <w:rPr>
        <w:rFonts w:ascii="Calibri" w:hAnsi="Calibri"/>
      </w:rPr>
      <w:t>Allegato</w:t>
    </w:r>
    <w:r w:rsidR="00B64294">
      <w:rPr>
        <w:rFonts w:ascii="Calibri" w:hAnsi="Calibri"/>
      </w:rPr>
      <w:t xml:space="preserve"> 10</w:t>
    </w:r>
    <w:r w:rsidRPr="009964DA">
      <w:rPr>
        <w:rFonts w:ascii="Calibri" w:hAnsi="Calibri"/>
      </w:rPr>
      <w:t xml:space="preserve"> – Facsimile Garanzia definitiva</w:t>
    </w:r>
  </w:p>
  <w:p w:rsidR="00D57095"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B12D05">
      <w:rPr>
        <w:rFonts w:ascii="Calibri" w:hAnsi="Calibri"/>
        <w:noProof/>
      </w:rPr>
      <w:t>1</w:t>
    </w:r>
    <w:r w:rsidRPr="006A469E">
      <w:rPr>
        <w:rFonts w:ascii="Calibri" w:hAnsi="Calibri"/>
      </w:rPr>
      <w:fldChar w:fldCharType="end"/>
    </w:r>
  </w:p>
  <w:p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D35" w:rsidRDefault="001E1A08">
    <w:pPr>
      <w:pStyle w:val="CLASSIFICAZIONEFOOTER2"/>
    </w:pPr>
    <w:r>
      <w:t xml:space="preserve">Classificazione del documento: Consip </w:t>
    </w:r>
    <w:r w:rsidR="00286A1C">
      <w:t>Public</w:t>
    </w:r>
  </w:p>
  <w:p w:rsidR="00286A1C" w:rsidRDefault="00286A1C" w:rsidP="00286A1C">
    <w:pPr>
      <w:pStyle w:val="Pidipagina"/>
      <w:pBdr>
        <w:top w:val="none" w:sz="0" w:space="0" w:color="auto"/>
      </w:pBdr>
      <w:spacing w:line="240" w:lineRule="auto"/>
      <w:rPr>
        <w:rFonts w:ascii="Calibri" w:hAnsi="Calibri" w:cs="Trebuchet MS"/>
        <w:i/>
        <w:color w:val="0000B4"/>
        <w:szCs w:val="16"/>
      </w:rPr>
    </w:pPr>
    <w:r w:rsidRPr="00B64294">
      <w:rPr>
        <w:rFonts w:ascii="Calibri" w:hAnsi="Calibri"/>
        <w:szCs w:val="16"/>
      </w:rPr>
      <w:t>Accordo Quadro ex art. 54, comma 3, del D.lgs. N. 50/2016, suddiviso in 8 lotti, per l’affidamento di servizi specialistici di supporto alla Digital Transformation per la PA – Ed. 2 - ID 2536</w:t>
    </w:r>
    <w:r>
      <w:rPr>
        <w:rFonts w:ascii="Calibri" w:hAnsi="Calibri"/>
        <w:szCs w:val="16"/>
      </w:rPr>
      <w:t xml:space="preserve"> </w:t>
    </w:r>
  </w:p>
  <w:p w:rsidR="00D57095" w:rsidRDefault="00286A1C" w:rsidP="006A469E">
    <w:pPr>
      <w:pStyle w:val="Pidipagina"/>
      <w:pBdr>
        <w:top w:val="none" w:sz="0" w:space="0" w:color="auto"/>
      </w:pBdr>
      <w:rPr>
        <w:rFonts w:ascii="Calibri" w:hAnsi="Calibri"/>
      </w:rPr>
    </w:pPr>
    <w:r w:rsidRPr="009964DA">
      <w:rPr>
        <w:rFonts w:ascii="Calibri" w:hAnsi="Calibri"/>
      </w:rPr>
      <w:t>Allegato</w:t>
    </w:r>
    <w:r>
      <w:rPr>
        <w:rFonts w:ascii="Calibri" w:hAnsi="Calibri"/>
      </w:rPr>
      <w:t xml:space="preserve"> 10</w:t>
    </w:r>
    <w:r w:rsidRPr="009964DA">
      <w:rPr>
        <w:rFonts w:ascii="Calibri" w:hAnsi="Calibri"/>
      </w:rPr>
      <w:t xml:space="preserve"> – Facsimile Garanzia definitiva</w:t>
    </w:r>
  </w:p>
  <w:p w:rsidR="006A469E"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B12D05">
      <w:rPr>
        <w:rFonts w:ascii="Calibri" w:hAnsi="Calibri"/>
        <w:noProof/>
      </w:rPr>
      <w:t>7</w:t>
    </w:r>
    <w:r w:rsidRPr="006A469E">
      <w:rPr>
        <w:rFonts w:ascii="Calibri" w:hAnsi="Calibri"/>
      </w:rPr>
      <w:fldChar w:fldCharType="end"/>
    </w:r>
  </w:p>
  <w:p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2EB" w:rsidRDefault="00F502EB" w:rsidP="006A469E">
      <w:pPr>
        <w:spacing w:line="240" w:lineRule="auto"/>
      </w:pPr>
      <w:r>
        <w:separator/>
      </w:r>
    </w:p>
  </w:footnote>
  <w:footnote w:type="continuationSeparator" w:id="0">
    <w:p w:rsidR="00F502EB" w:rsidRDefault="00F502EB"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59264" behindDoc="1" locked="0" layoutInCell="1" allowOverlap="1">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B66DAA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F0517"/>
    <w:rsid w:val="001E1A08"/>
    <w:rsid w:val="00286A1C"/>
    <w:rsid w:val="003D0AB3"/>
    <w:rsid w:val="0043532E"/>
    <w:rsid w:val="0051269D"/>
    <w:rsid w:val="0059255D"/>
    <w:rsid w:val="005B53D2"/>
    <w:rsid w:val="00622E8F"/>
    <w:rsid w:val="006318E7"/>
    <w:rsid w:val="00642542"/>
    <w:rsid w:val="006A469E"/>
    <w:rsid w:val="006B4617"/>
    <w:rsid w:val="007F66C9"/>
    <w:rsid w:val="0099309A"/>
    <w:rsid w:val="00996D35"/>
    <w:rsid w:val="00B02176"/>
    <w:rsid w:val="00B12D05"/>
    <w:rsid w:val="00B1398D"/>
    <w:rsid w:val="00B64294"/>
    <w:rsid w:val="00CA2D0F"/>
    <w:rsid w:val="00F43BC5"/>
    <w:rsid w:val="00F502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C7949"/>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99309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9309A"/>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C37B5523B65524D9F5401624079B53E" ma:contentTypeVersion="2" ma:contentTypeDescription="Creare un nuovo documento." ma:contentTypeScope="" ma:versionID="c3ba7f98bfbbfba63e66b8d524975874">
  <xsd:schema xmlns:xsd="http://www.w3.org/2001/XMLSchema" xmlns:xs="http://www.w3.org/2001/XMLSchema" xmlns:p="http://schemas.microsoft.com/office/2006/metadata/properties" xmlns:ns2="b6aa2a9f-b95d-46ea-b2ed-57444ba0998e" targetNamespace="http://schemas.microsoft.com/office/2006/metadata/properties" ma:root="true" ma:fieldsID="3b5ce85fb6e2c1a11ab30a61e856abc3" ns2:_="">
    <xsd:import namespace="b6aa2a9f-b95d-46ea-b2ed-57444ba0998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a2a9f-b95d-46ea-b2ed-57444ba09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A818FF-8460-439A-9169-0E510D48F417}"/>
</file>

<file path=customXml/itemProps2.xml><?xml version="1.0" encoding="utf-8"?>
<ds:datastoreItem xmlns:ds="http://schemas.openxmlformats.org/officeDocument/2006/customXml" ds:itemID="{C02D25D6-92E7-4244-A36C-3E4A930ACC84}"/>
</file>

<file path=customXml/itemProps3.xml><?xml version="1.0" encoding="utf-8"?>
<ds:datastoreItem xmlns:ds="http://schemas.openxmlformats.org/officeDocument/2006/customXml" ds:itemID="{AAE1992B-C8DA-403A-91ED-A96D9F1BCB0C}"/>
</file>

<file path=docProps/app.xml><?xml version="1.0" encoding="utf-8"?>
<Properties xmlns="http://schemas.openxmlformats.org/officeDocument/2006/extended-properties" xmlns:vt="http://schemas.openxmlformats.org/officeDocument/2006/docPropsVTypes">
  <Template>Normal.dotm</Template>
  <TotalTime>0</TotalTime>
  <Pages>7</Pages>
  <Words>2496</Words>
  <Characters>14233</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Volpe Arianna</cp:lastModifiedBy>
  <cp:revision>2</cp:revision>
  <dcterms:created xsi:type="dcterms:W3CDTF">2023-06-05T14:51:00Z</dcterms:created>
  <dcterms:modified xsi:type="dcterms:W3CDTF">2023-06-05T14:51:00Z</dcterms:modified>
</cp:coreProperties>
</file>

<file path=docProps/custom.xml><?xml version="1.0" encoding="utf-8"?>
<Properties xmlns="http://schemas.openxmlformats.org/officeDocument/2006/custom-properties" xmlns:vt="http://schemas.openxmlformats.org/officeDocument/2006/docPropsVTypes">
  <property fmtid="{6305C210-0BB1-40E9-ABB3-A48AFEECD516}" pid="2" name="IDALFREF">
    <vt:lpwstr>workspace://SpacesStore/b7382def-610e-45dd-9fda-29f2b4fb2513</vt:lpwstr>
  </property>
  <property fmtid="{521AE6CA-48F5-48CD-A0EB-19B762E34B4C}" pid="3" name="ALFVersion">
    <vt:lpwstr>workspace://SpacesStore/e335db6c-e1d6-46ea-8f01-04415bd2c317</vt:lpwstr>
  </property>
  <property fmtid="{4F6276FE-56E4-4468-895A-58612D73E3B2}" pid="4" name="NomeTemplate">
    <vt:lpwstr>ALL05AQ</vt:lpwstr>
  </property>
  <property fmtid="{8BE266E2-4F88-4FDE-BA80-72F297531F8D}" pid="5" name="MajorVersion">
    <vt:lpwstr>2</vt:lpwstr>
  </property>
  <property fmtid="{71F136DB-F57C-482D-8429-9F165BDF8DA6}" pid="6" name="MinorVersion">
    <vt:lpwstr>2</vt:lpwstr>
  </property>
  <property fmtid="{D5CDD505-2E9C-101B-9397-08002B2CF9AE}" pid="2" name="ContentTypeId">
    <vt:lpwstr>0x010100FC37B5523B65524D9F5401624079B53E</vt:lpwstr>
  </property>
</Properties>
</file>