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98E40" w14:textId="77777777" w:rsidR="00175ADC" w:rsidRDefault="00175ADC" w:rsidP="00175AD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55B2DD81" w14:textId="77777777" w:rsidR="00175ADC" w:rsidRPr="00DF75A7" w:rsidRDefault="00175ADC" w:rsidP="00175AD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49E876CE" w14:textId="77777777" w:rsidR="00175ADC" w:rsidRDefault="00175ADC" w:rsidP="00175AD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14:paraId="7622879D" w14:textId="77777777" w:rsidR="00175ADC" w:rsidRPr="00DF75A7" w:rsidRDefault="00175ADC" w:rsidP="00831964">
      <w:pPr>
        <w:pStyle w:val="Titolocopertina"/>
      </w:pPr>
      <w:r w:rsidRPr="00C62018">
        <w:t xml:space="preserve">ALLEGATO </w:t>
      </w:r>
      <w:r w:rsidR="00831964" w:rsidRPr="00C62018">
        <w:t>13</w:t>
      </w:r>
    </w:p>
    <w:p w14:paraId="25B97684" w14:textId="77777777" w:rsidR="00175ADC" w:rsidRPr="00DF75A7" w:rsidRDefault="00C62018" w:rsidP="00831964">
      <w:pPr>
        <w:pStyle w:val="Titolocopertina"/>
      </w:pPr>
      <w:r>
        <w:t>FACSIMILE RELAZIONe TECNICA</w:t>
      </w:r>
    </w:p>
    <w:p w14:paraId="57046FC2" w14:textId="77777777" w:rsidR="00175ADC" w:rsidRPr="00DF75A7" w:rsidRDefault="00175ADC" w:rsidP="00831964">
      <w:pPr>
        <w:pStyle w:val="Titolocopertina"/>
      </w:pPr>
      <w:r>
        <w:rPr>
          <w:kern w:val="32"/>
        </w:rPr>
        <w:br w:type="page"/>
      </w:r>
      <w:r w:rsidRPr="00DF75A7">
        <w:lastRenderedPageBreak/>
        <w:t xml:space="preserve"> </w:t>
      </w:r>
    </w:p>
    <w:p w14:paraId="60403C18" w14:textId="41F40635" w:rsidR="00175ADC" w:rsidRDefault="00C62018" w:rsidP="00175ADC">
      <w:pPr>
        <w:rPr>
          <w:rFonts w:ascii="Calibri" w:hAnsi="Calibri"/>
        </w:rPr>
      </w:pPr>
      <w:r>
        <w:rPr>
          <w:rFonts w:ascii="Calibri" w:hAnsi="Calibri"/>
        </w:rPr>
        <w:t>Parte dell’</w:t>
      </w:r>
      <w:r w:rsidR="00175ADC" w:rsidRPr="00DF75A7">
        <w:rPr>
          <w:rStyle w:val="StileCorsivo"/>
          <w:rFonts w:ascii="Calibri" w:hAnsi="Calibri"/>
        </w:rPr>
        <w:t xml:space="preserve">Offerta tecnica </w:t>
      </w:r>
      <w:r w:rsidR="00175ADC" w:rsidRPr="00DF75A7">
        <w:rPr>
          <w:rStyle w:val="StileCorsivo"/>
          <w:rFonts w:ascii="Calibri" w:hAnsi="Calibri"/>
          <w:i w:val="0"/>
        </w:rPr>
        <w:t xml:space="preserve">è costituita </w:t>
      </w:r>
      <w:r w:rsidR="00175ADC" w:rsidRPr="00DF75A7">
        <w:rPr>
          <w:rFonts w:ascii="Calibri" w:hAnsi="Calibri"/>
        </w:rPr>
        <w:t xml:space="preserve">da una </w:t>
      </w:r>
      <w:r w:rsidR="00175ADC" w:rsidRPr="00DF75A7">
        <w:rPr>
          <w:rFonts w:ascii="Calibri" w:hAnsi="Calibri"/>
          <w:b/>
          <w:bCs/>
        </w:rPr>
        <w:t>RELAZIONE TECNICA</w:t>
      </w:r>
      <w:r w:rsidR="00175ADC" w:rsidRPr="00DF75A7">
        <w:rPr>
          <w:rFonts w:ascii="Calibri" w:hAnsi="Calibri"/>
        </w:rPr>
        <w:t xml:space="preserve"> </w:t>
      </w:r>
      <w:r w:rsidR="00831964">
        <w:rPr>
          <w:rFonts w:ascii="Calibri" w:hAnsi="Calibri"/>
          <w:b/>
        </w:rPr>
        <w:t xml:space="preserve">redatta </w:t>
      </w:r>
      <w:r w:rsidR="00175ADC" w:rsidRPr="00DF75A7">
        <w:rPr>
          <w:rFonts w:ascii="Calibri" w:hAnsi="Calibri"/>
        </w:rPr>
        <w:t xml:space="preserve">in </w:t>
      </w:r>
      <w:r w:rsidR="00175ADC" w:rsidRPr="00DF75A7">
        <w:rPr>
          <w:rFonts w:ascii="Calibri" w:hAnsi="Calibri"/>
          <w:b/>
          <w:u w:val="single"/>
        </w:rPr>
        <w:t xml:space="preserve">lingua italiana </w:t>
      </w:r>
      <w:r w:rsidR="00831964">
        <w:rPr>
          <w:rFonts w:ascii="Calibri" w:hAnsi="Calibri"/>
          <w:b/>
          <w:u w:val="single"/>
        </w:rPr>
        <w:t xml:space="preserve">secondo le modalità indicate al paragrafo 15.2 del Capitolato d’Oneri </w:t>
      </w:r>
      <w:r w:rsidR="00831964" w:rsidRPr="00622F82">
        <w:rPr>
          <w:rFonts w:ascii="Calibri" w:hAnsi="Calibri"/>
        </w:rPr>
        <w:t xml:space="preserve">e </w:t>
      </w:r>
      <w:r w:rsidR="00175ADC" w:rsidRPr="00DF75A7">
        <w:rPr>
          <w:rFonts w:ascii="Calibri" w:hAnsi="Calibri"/>
          <w:iCs/>
        </w:rPr>
        <w:t>conforme al</w:t>
      </w:r>
      <w:r w:rsidR="00592490">
        <w:rPr>
          <w:rFonts w:ascii="Calibri" w:hAnsi="Calibri"/>
          <w:iCs/>
        </w:rPr>
        <w:t>le indicazioni</w:t>
      </w:r>
      <w:r w:rsidR="00175ADC" w:rsidRPr="00DF75A7">
        <w:rPr>
          <w:rFonts w:ascii="Calibri" w:hAnsi="Calibri"/>
          <w:iCs/>
        </w:rPr>
        <w:t xml:space="preserve"> di seguito riportat</w:t>
      </w:r>
      <w:r w:rsidR="00592490">
        <w:rPr>
          <w:rFonts w:ascii="Calibri" w:hAnsi="Calibri"/>
          <w:iCs/>
        </w:rPr>
        <w:t>e</w:t>
      </w:r>
      <w:r w:rsidR="00175ADC" w:rsidRPr="00DF75A7">
        <w:rPr>
          <w:rFonts w:ascii="Calibri" w:hAnsi="Calibri"/>
        </w:rPr>
        <w:t xml:space="preserve"> che </w:t>
      </w:r>
      <w:r w:rsidR="00831964">
        <w:rPr>
          <w:rFonts w:ascii="Calibri" w:hAnsi="Calibri"/>
        </w:rPr>
        <w:t xml:space="preserve">consenta alla Commissione giudicatrice di valutare le sole caratteristiche tecniche migliorative discrezionali attraverso le modalità indicate al paragrafo 17.2 del Capitolato d’Oneri e </w:t>
      </w:r>
      <w:r>
        <w:rPr>
          <w:rFonts w:ascii="Calibri" w:hAnsi="Calibri"/>
        </w:rPr>
        <w:t xml:space="preserve">nel </w:t>
      </w:r>
      <w:r w:rsidR="00831964">
        <w:rPr>
          <w:rFonts w:ascii="Calibri" w:hAnsi="Calibri"/>
        </w:rPr>
        <w:t>presente documento.</w:t>
      </w:r>
      <w:r w:rsidR="00175ADC" w:rsidRPr="00DF75A7">
        <w:rPr>
          <w:rFonts w:ascii="Calibri" w:hAnsi="Calibri"/>
        </w:rPr>
        <w:t xml:space="preserve"> </w:t>
      </w:r>
    </w:p>
    <w:p w14:paraId="1B4E3DA9" w14:textId="77777777" w:rsidR="00F849EA" w:rsidRPr="00DF75A7" w:rsidRDefault="00F849EA" w:rsidP="00175ADC">
      <w:pPr>
        <w:rPr>
          <w:rFonts w:ascii="Calibri" w:hAnsi="Calibri"/>
        </w:rPr>
      </w:pPr>
    </w:p>
    <w:p w14:paraId="23A0472D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in caso di redazione in lingua diversa dall’italiano la relazione tecnica </w:t>
      </w:r>
      <w:r w:rsidRPr="00DF75A7">
        <w:rPr>
          <w:rFonts w:ascii="Calibri" w:hAnsi="Calibri"/>
          <w:b/>
          <w:u w:val="single"/>
        </w:rPr>
        <w:t xml:space="preserve">dovrà </w:t>
      </w:r>
      <w:r w:rsidRPr="00DF75A7">
        <w:rPr>
          <w:rFonts w:ascii="Calibri" w:hAnsi="Calibri"/>
        </w:rPr>
        <w:t>essere corredata da traduzione giurata.</w:t>
      </w:r>
      <w:r w:rsidR="00831964">
        <w:rPr>
          <w:rFonts w:ascii="Calibri" w:hAnsi="Calibri"/>
        </w:rPr>
        <w:t xml:space="preserve"> In caso di redazione in lingua inglese è ammessa la traduzione semplice.</w:t>
      </w:r>
    </w:p>
    <w:p w14:paraId="56D74776" w14:textId="77777777" w:rsidR="00175ADC" w:rsidRPr="00DF75A7" w:rsidRDefault="00175ADC" w:rsidP="00175ADC">
      <w:pPr>
        <w:rPr>
          <w:rFonts w:ascii="Calibri" w:hAnsi="Calibri" w:cs="Calibri"/>
          <w:kern w:val="0"/>
          <w:szCs w:val="20"/>
          <w:u w:val="single"/>
        </w:rPr>
      </w:pPr>
      <w:r w:rsidRPr="00DF75A7">
        <w:rPr>
          <w:rFonts w:ascii="Calibri" w:hAnsi="Calibri" w:cs="Calibri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DF75A7">
        <w:rPr>
          <w:rFonts w:ascii="Calibri" w:hAnsi="Calibri" w:cs="Calibri,Bold"/>
          <w:b/>
          <w:bCs/>
          <w:kern w:val="0"/>
          <w:szCs w:val="20"/>
          <w:u w:val="single"/>
        </w:rPr>
        <w:t>esclusione dalla gara</w:t>
      </w:r>
      <w:r w:rsidRPr="00DF75A7">
        <w:rPr>
          <w:rFonts w:ascii="Calibri" w:hAnsi="Calibri" w:cs="Calibri"/>
          <w:kern w:val="0"/>
          <w:szCs w:val="20"/>
          <w:u w:val="single"/>
        </w:rPr>
        <w:t xml:space="preserve">. </w:t>
      </w:r>
    </w:p>
    <w:p w14:paraId="1BDD69F6" w14:textId="77777777" w:rsidR="00175ADC" w:rsidRPr="00DF75A7" w:rsidRDefault="00175ADC" w:rsidP="00175ADC">
      <w:pPr>
        <w:rPr>
          <w:rFonts w:ascii="Calibri" w:hAnsi="Calibri" w:cs="Trebuchet MS"/>
        </w:rPr>
      </w:pPr>
      <w:r w:rsidRPr="00DF75A7">
        <w:rPr>
          <w:rFonts w:ascii="Calibri" w:hAnsi="Calibri"/>
        </w:rPr>
        <w:t xml:space="preserve">La Relazione Tecnica dovrà essere firmata secondo le modalità descritte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>.</w:t>
      </w:r>
    </w:p>
    <w:p w14:paraId="1836D205" w14:textId="77777777" w:rsidR="00175ADC" w:rsidRPr="00DF75A7" w:rsidRDefault="00175ADC" w:rsidP="00175ADC">
      <w:pPr>
        <w:rPr>
          <w:rFonts w:ascii="Calibri" w:hAnsi="Calibri"/>
        </w:rPr>
      </w:pPr>
    </w:p>
    <w:p w14:paraId="0A23C085" w14:textId="77777777" w:rsidR="00175ADC" w:rsidRPr="00DF75A7" w:rsidRDefault="00175ADC" w:rsidP="00175ADC">
      <w:pPr>
        <w:rPr>
          <w:i/>
          <w:iCs/>
        </w:rPr>
      </w:pPr>
      <w:r w:rsidRPr="00DF75A7">
        <w:rPr>
          <w:rFonts w:ascii="Calibri" w:hAnsi="Calibri"/>
        </w:rPr>
        <w:t xml:space="preserve">La </w:t>
      </w:r>
      <w:r w:rsidRPr="00DF75A7">
        <w:rPr>
          <w:rStyle w:val="Grassetto"/>
          <w:rFonts w:ascii="Calibri" w:hAnsi="Calibri"/>
          <w:b w:val="0"/>
        </w:rPr>
        <w:t>Relazione Tecnica</w:t>
      </w:r>
      <w:r w:rsidRPr="00DF75A7">
        <w:rPr>
          <w:rFonts w:ascii="Calibri" w:hAnsi="Calibri"/>
          <w:b/>
        </w:rPr>
        <w:t>:</w:t>
      </w:r>
      <w:r w:rsidRPr="00DF75A7">
        <w:rPr>
          <w:rFonts w:ascii="Calibri" w:hAnsi="Calibri"/>
        </w:rPr>
        <w:t xml:space="preserve"> </w:t>
      </w:r>
      <w:r w:rsidRPr="00DF75A7">
        <w:rPr>
          <w:i/>
          <w:iCs/>
        </w:rPr>
        <w:t xml:space="preserve"> </w:t>
      </w:r>
    </w:p>
    <w:p w14:paraId="189D525C" w14:textId="77777777" w:rsidR="00175ADC" w:rsidRPr="00DF75A7" w:rsidRDefault="00175ADC" w:rsidP="00175ADC">
      <w:pPr>
        <w:rPr>
          <w:rStyle w:val="Grassetto"/>
          <w:rFonts w:ascii="Calibri" w:hAnsi="Calibri"/>
          <w:b w:val="0"/>
        </w:rPr>
      </w:pPr>
      <w:r w:rsidRPr="00DF75A7">
        <w:rPr>
          <w:i/>
          <w:iCs/>
        </w:rPr>
        <w:t xml:space="preserve">(i) </w:t>
      </w:r>
      <w:r w:rsidRPr="00DF75A7">
        <w:rPr>
          <w:rStyle w:val="Grassetto"/>
          <w:rFonts w:ascii="Calibri" w:hAnsi="Calibri"/>
          <w:b w:val="0"/>
        </w:rPr>
        <w:t xml:space="preserve">dovrà essere presentata con font libero non inferiore al carattere </w:t>
      </w:r>
      <w:r w:rsidR="00F849EA">
        <w:rPr>
          <w:rStyle w:val="Grassetto"/>
          <w:rFonts w:ascii="Calibri" w:hAnsi="Calibri"/>
          <w:b w:val="0"/>
        </w:rPr>
        <w:t>10</w:t>
      </w:r>
      <w:r w:rsidRPr="00DF75A7">
        <w:rPr>
          <w:rStyle w:val="Grassetto"/>
          <w:rFonts w:ascii="Calibri" w:hAnsi="Calibri"/>
          <w:b w:val="0"/>
        </w:rPr>
        <w:t xml:space="preserve">; </w:t>
      </w:r>
    </w:p>
    <w:p w14:paraId="666D550F" w14:textId="77777777" w:rsidR="00175ADC" w:rsidRPr="00DF75A7" w:rsidRDefault="00175ADC" w:rsidP="00175ADC">
      <w:pPr>
        <w:rPr>
          <w:rStyle w:val="Grassetto"/>
          <w:rFonts w:ascii="Calibri" w:hAnsi="Calibri"/>
          <w:b w:val="0"/>
        </w:rPr>
      </w:pPr>
      <w:r w:rsidRPr="00DF75A7">
        <w:rPr>
          <w:rStyle w:val="Grassetto"/>
          <w:rFonts w:ascii="Calibri" w:hAnsi="Calibri"/>
          <w:b w:val="0"/>
          <w:i/>
          <w:iCs/>
        </w:rPr>
        <w:t xml:space="preserve">(ii) </w:t>
      </w:r>
      <w:r w:rsidRPr="00DF75A7">
        <w:rPr>
          <w:rFonts w:ascii="Calibri" w:hAnsi="Calibri"/>
        </w:rPr>
        <w:t xml:space="preserve">dovrà essere contenuta entro </w:t>
      </w:r>
      <w:r w:rsidR="00F849EA" w:rsidRPr="00DF75A7">
        <w:rPr>
          <w:rFonts w:ascii="Calibri" w:hAnsi="Calibri"/>
        </w:rPr>
        <w:t>le</w:t>
      </w:r>
      <w:r w:rsidR="00F849EA">
        <w:rPr>
          <w:rFonts w:ascii="Calibri" w:hAnsi="Calibri"/>
        </w:rPr>
        <w:t xml:space="preserve"> 20 </w:t>
      </w:r>
      <w:r w:rsidRPr="00DF75A7">
        <w:rPr>
          <w:rFonts w:ascii="Calibri" w:hAnsi="Calibri"/>
        </w:rPr>
        <w:t>(</w:t>
      </w:r>
      <w:r w:rsidR="00F849EA">
        <w:rPr>
          <w:rFonts w:ascii="Calibri" w:hAnsi="Calibri"/>
        </w:rPr>
        <w:t>venti</w:t>
      </w:r>
      <w:r w:rsidRPr="00DF75A7">
        <w:rPr>
          <w:rFonts w:ascii="Calibri" w:hAnsi="Calibri"/>
        </w:rPr>
        <w:t>) pagine.</w:t>
      </w:r>
    </w:p>
    <w:p w14:paraId="0B64FECA" w14:textId="77777777" w:rsidR="00175ADC" w:rsidRPr="00DF75A7" w:rsidRDefault="00175ADC" w:rsidP="00175ADC">
      <w:pPr>
        <w:rPr>
          <w:rFonts w:ascii="Calibri" w:hAnsi="Calibri"/>
        </w:rPr>
      </w:pPr>
    </w:p>
    <w:p w14:paraId="3C8F32CC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</w:t>
      </w:r>
    </w:p>
    <w:p w14:paraId="5C9C846A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Style w:val="StileCorsivoBlu"/>
          <w:rFonts w:ascii="Calibri" w:hAnsi="Calibri"/>
        </w:rPr>
        <w:t xml:space="preserve"> -</w:t>
      </w:r>
      <w:r w:rsidRPr="00DF75A7">
        <w:rPr>
          <w:rFonts w:ascii="Calibri" w:hAnsi="Calibri"/>
        </w:rPr>
        <w:t xml:space="preserve"> nel caso in cui il numero di pagine della Relazione Tecnica sia superiore a quello stabilito, le pagine eccedenti non verranno prese in considerazione dalla commissione ai fini della valutazione dell’offerta; </w:t>
      </w:r>
    </w:p>
    <w:p w14:paraId="7B90BB35" w14:textId="77777777" w:rsidR="00175ADC" w:rsidRPr="00DF75A7" w:rsidRDefault="00175ADC" w:rsidP="00175ADC">
      <w:pPr>
        <w:rPr>
          <w:rFonts w:ascii="Calibri" w:hAnsi="Calibri"/>
        </w:rPr>
      </w:pPr>
      <w:r>
        <w:rPr>
          <w:rFonts w:ascii="Calibri" w:hAnsi="Calibri"/>
        </w:rPr>
        <w:t>-</w:t>
      </w:r>
      <w:r w:rsidRPr="00DF75A7">
        <w:rPr>
          <w:rFonts w:ascii="Calibri" w:hAnsi="Calibri"/>
        </w:rPr>
        <w:t xml:space="preserve"> nel numero delle pagine stabilito non verranno in ogni caso computati l’indice e l’eventuale copertina della Relazione Tecnica. </w:t>
      </w:r>
    </w:p>
    <w:p w14:paraId="7A6AE540" w14:textId="77777777" w:rsidR="00175ADC" w:rsidRPr="00DF75A7" w:rsidRDefault="00175ADC" w:rsidP="00175ADC">
      <w:pPr>
        <w:rPr>
          <w:rFonts w:ascii="Calibri" w:hAnsi="Calibri"/>
        </w:rPr>
      </w:pPr>
    </w:p>
    <w:p w14:paraId="71E9B1F9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>Si rappresenta che</w:t>
      </w:r>
      <w:r w:rsidR="00C62018">
        <w:rPr>
          <w:rFonts w:ascii="Calibri" w:hAnsi="Calibri"/>
        </w:rPr>
        <w:t xml:space="preserve">, </w:t>
      </w:r>
      <w:r w:rsidR="00C62018" w:rsidRPr="00921B87">
        <w:rPr>
          <w:rFonts w:asciiTheme="minorHAnsi" w:hAnsiTheme="minorHAnsi" w:cstheme="minorHAnsi"/>
          <w:szCs w:val="20"/>
        </w:rPr>
        <w:t>ai fini dell’attribuzione del punteggio relativo ai criteri Discrezionali</w:t>
      </w:r>
      <w:r w:rsidR="00C62018">
        <w:rPr>
          <w:rFonts w:asciiTheme="minorHAnsi" w:hAnsiTheme="minorHAnsi" w:cstheme="minorHAnsi"/>
          <w:szCs w:val="20"/>
        </w:rPr>
        <w:t>,</w:t>
      </w:r>
      <w:r w:rsidRPr="00DF75A7">
        <w:rPr>
          <w:rFonts w:ascii="Calibri" w:hAnsi="Calibri"/>
        </w:rPr>
        <w:t xml:space="preserve"> la Commissione procederà alla valutazione della sola Relazione Tecnica. </w:t>
      </w:r>
    </w:p>
    <w:p w14:paraId="2D5D82B0" w14:textId="77777777" w:rsidR="00175ADC" w:rsidRDefault="00175ADC" w:rsidP="00175ADC">
      <w:pPr>
        <w:rPr>
          <w:rFonts w:ascii="Calibri" w:hAnsi="Calibri" w:cs="Calibri"/>
          <w:u w:val="single"/>
        </w:rPr>
      </w:pPr>
      <w:r w:rsidRPr="00DF75A7">
        <w:rPr>
          <w:rFonts w:ascii="Calibri" w:hAnsi="Calibri"/>
          <w:b/>
        </w:rPr>
        <w:t>Nel caso in cui, pertanto, il Concorrente produca documentazione aggiuntiva, quest’ultima non sarà sottoposta a valutazione</w:t>
      </w:r>
      <w:r w:rsidR="00F849EA" w:rsidRPr="00330DA6">
        <w:rPr>
          <w:rFonts w:ascii="Calibri" w:hAnsi="Calibri" w:cs="Calibri"/>
          <w:u w:val="single"/>
        </w:rPr>
        <w:t>.</w:t>
      </w:r>
    </w:p>
    <w:p w14:paraId="776B5CB2" w14:textId="77777777" w:rsidR="00F849EA" w:rsidRPr="00DF75A7" w:rsidRDefault="00F849EA" w:rsidP="00175ADC">
      <w:pPr>
        <w:rPr>
          <w:rFonts w:ascii="Calibri" w:hAnsi="Calibri" w:cs="Calibri"/>
          <w:u w:val="single"/>
        </w:rPr>
      </w:pPr>
    </w:p>
    <w:p w14:paraId="6CD012CB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  <w:szCs w:val="20"/>
        </w:rPr>
        <w:t xml:space="preserve">Si rappresenta che </w:t>
      </w:r>
      <w:r w:rsidRPr="00DF75A7">
        <w:rPr>
          <w:rFonts w:ascii="Calibri" w:hAnsi="Calibri"/>
        </w:rPr>
        <w:t>il Concorrente è tenuto ad indicare analiticamente le parti dell’Offerta contenenti segreti tecnici o commerciali, ove presenti, che intenda non rendere accessibile ai terzi.</w:t>
      </w:r>
    </w:p>
    <w:p w14:paraId="056DF8F3" w14:textId="77777777" w:rsidR="00175ADC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Ferme restando le indicazioni contenute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 xml:space="preserve">, la documentazione che il Concorrente intenda produrre per comprovare l’esigenza di tutela sarà prodotta in </w:t>
      </w:r>
      <w:r>
        <w:rPr>
          <w:rFonts w:ascii="Calibri" w:hAnsi="Calibri"/>
        </w:rPr>
        <w:t>allegato</w:t>
      </w:r>
      <w:r w:rsidRPr="00DF75A7">
        <w:rPr>
          <w:rFonts w:ascii="Calibri" w:hAnsi="Calibri"/>
        </w:rPr>
        <w:t xml:space="preserve"> alla </w:t>
      </w:r>
      <w:r>
        <w:rPr>
          <w:rFonts w:ascii="Calibri" w:hAnsi="Calibri"/>
        </w:rPr>
        <w:t xml:space="preserve">Relazione Tecnica </w:t>
      </w:r>
      <w:r w:rsidRPr="00DF75A7">
        <w:rPr>
          <w:rFonts w:ascii="Calibri" w:hAnsi="Calibri"/>
        </w:rPr>
        <w:t xml:space="preserve">e non concorrerà al computo delle </w:t>
      </w:r>
      <w:r w:rsidR="00F849EA">
        <w:rPr>
          <w:rFonts w:ascii="Calibri" w:hAnsi="Calibri"/>
        </w:rPr>
        <w:t>20</w:t>
      </w:r>
      <w:r w:rsidR="00C62018">
        <w:rPr>
          <w:rFonts w:ascii="Calibri" w:hAnsi="Calibri"/>
          <w:color w:val="548DD4"/>
        </w:rPr>
        <w:t xml:space="preserve"> </w:t>
      </w:r>
      <w:r w:rsidRPr="00DF75A7">
        <w:rPr>
          <w:rFonts w:ascii="Calibri" w:hAnsi="Calibri"/>
        </w:rPr>
        <w:t>pagine.</w:t>
      </w:r>
    </w:p>
    <w:p w14:paraId="66F437D9" w14:textId="77777777" w:rsidR="00F849EA" w:rsidRDefault="00F849EA" w:rsidP="00175ADC">
      <w:pPr>
        <w:rPr>
          <w:rFonts w:ascii="Calibri" w:hAnsi="Calibri"/>
        </w:rPr>
      </w:pPr>
    </w:p>
    <w:p w14:paraId="420F7B2A" w14:textId="77777777" w:rsidR="00F849EA" w:rsidRDefault="00F849EA" w:rsidP="00175ADC">
      <w:pPr>
        <w:rPr>
          <w:rFonts w:ascii="Calibri" w:hAnsi="Calibri"/>
        </w:rPr>
      </w:pPr>
    </w:p>
    <w:p w14:paraId="66F4D358" w14:textId="77777777" w:rsidR="00F849EA" w:rsidRDefault="00F849EA" w:rsidP="00175ADC">
      <w:pPr>
        <w:rPr>
          <w:rFonts w:ascii="Calibri" w:hAnsi="Calibri"/>
        </w:rPr>
      </w:pPr>
    </w:p>
    <w:p w14:paraId="595CD60C" w14:textId="77777777" w:rsidR="00F849EA" w:rsidRDefault="00F849EA" w:rsidP="00175ADC">
      <w:pPr>
        <w:rPr>
          <w:rFonts w:ascii="Calibri" w:hAnsi="Calibri"/>
        </w:rPr>
      </w:pPr>
    </w:p>
    <w:p w14:paraId="598C6698" w14:textId="77777777" w:rsidR="00F849EA" w:rsidRDefault="00F849EA" w:rsidP="00175ADC">
      <w:pPr>
        <w:rPr>
          <w:rFonts w:ascii="Calibri" w:hAnsi="Calibri"/>
        </w:rPr>
      </w:pPr>
    </w:p>
    <w:p w14:paraId="7A48C60F" w14:textId="77777777" w:rsidR="00175ADC" w:rsidRPr="00DF75A7" w:rsidRDefault="00175ADC" w:rsidP="00175ADC">
      <w:pPr>
        <w:rPr>
          <w:rStyle w:val="StileCorsivoBlu"/>
          <w:rFonts w:ascii="Calibri" w:hAnsi="Calibri"/>
          <w:b/>
        </w:rPr>
      </w:pPr>
    </w:p>
    <w:p w14:paraId="54E31C6B" w14:textId="77777777" w:rsidR="00F849EA" w:rsidRPr="00C62018" w:rsidRDefault="00F849EA" w:rsidP="00C62018">
      <w:pPr>
        <w:pStyle w:val="Paragrafoelenco"/>
        <w:jc w:val="center"/>
        <w:rPr>
          <w:rFonts w:ascii="Calibri" w:hAnsi="Calibri"/>
          <w:b/>
        </w:rPr>
      </w:pPr>
      <w:r w:rsidRPr="00C62018">
        <w:rPr>
          <w:rFonts w:ascii="Calibri" w:hAnsi="Calibri"/>
          <w:b/>
        </w:rPr>
        <w:t>CARATTERISTICHE TECNICHE DISCREZIONALI E MODALITA’ DI VALUTAZIONE</w:t>
      </w:r>
    </w:p>
    <w:p w14:paraId="27C60F29" w14:textId="77777777" w:rsidR="00F849EA" w:rsidRDefault="00F849EA" w:rsidP="00C62018">
      <w:pPr>
        <w:pStyle w:val="Paragrafoelenco"/>
        <w:rPr>
          <w:rFonts w:ascii="Calibri" w:hAnsi="Calibr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3902"/>
      </w:tblGrid>
      <w:tr w:rsidR="00F849EA" w:rsidRPr="00A26A80" w14:paraId="14559673" w14:textId="77777777" w:rsidTr="006261BB">
        <w:trPr>
          <w:cantSplit/>
          <w:trHeight w:val="656"/>
          <w:tblHeader/>
        </w:trPr>
        <w:tc>
          <w:tcPr>
            <w:tcW w:w="3890" w:type="dxa"/>
            <w:shd w:val="clear" w:color="auto" w:fill="A6A6A6"/>
            <w:vAlign w:val="center"/>
          </w:tcPr>
          <w:p w14:paraId="74406D03" w14:textId="77777777" w:rsidR="00F849EA" w:rsidRPr="00A26A80" w:rsidRDefault="00F849EA" w:rsidP="006261BB">
            <w:pPr>
              <w:overflowPunct w:val="0"/>
              <w:textAlignment w:val="baseline"/>
              <w:rPr>
                <w:rFonts w:ascii="Calibri" w:hAnsi="Calibri"/>
                <w:szCs w:val="21"/>
              </w:rPr>
            </w:pPr>
            <w:r w:rsidRPr="00A26A80">
              <w:rPr>
                <w:rFonts w:ascii="Calibri" w:hAnsi="Calibri" w:cs="TrebuchetMS,Bold"/>
                <w:b/>
                <w:bCs/>
                <w:szCs w:val="21"/>
              </w:rPr>
              <w:t>Caratteristica tecnica discrezionale</w:t>
            </w:r>
          </w:p>
        </w:tc>
        <w:tc>
          <w:tcPr>
            <w:tcW w:w="3902" w:type="dxa"/>
            <w:shd w:val="clear" w:color="auto" w:fill="A6A6A6"/>
            <w:vAlign w:val="center"/>
          </w:tcPr>
          <w:p w14:paraId="66A2F31D" w14:textId="77777777" w:rsidR="00F849EA" w:rsidRPr="00A26A80" w:rsidRDefault="00F849EA" w:rsidP="006261BB">
            <w:pPr>
              <w:overflowPunct w:val="0"/>
              <w:textAlignment w:val="baseline"/>
              <w:rPr>
                <w:rFonts w:ascii="Calibri" w:hAnsi="Calibri"/>
                <w:szCs w:val="21"/>
              </w:rPr>
            </w:pPr>
            <w:r w:rsidRPr="00A26A80">
              <w:rPr>
                <w:rFonts w:ascii="Calibri" w:hAnsi="Calibri" w:cs="TrebuchetMS,Bold"/>
                <w:b/>
                <w:bCs/>
                <w:szCs w:val="21"/>
              </w:rPr>
              <w:t>Modalità di valutazione</w:t>
            </w:r>
          </w:p>
        </w:tc>
      </w:tr>
      <w:tr w:rsidR="00F849EA" w:rsidRPr="00A26A80" w14:paraId="542D8102" w14:textId="77777777" w:rsidTr="006261BB">
        <w:trPr>
          <w:cantSplit/>
        </w:trPr>
        <w:tc>
          <w:tcPr>
            <w:tcW w:w="3890" w:type="dxa"/>
            <w:shd w:val="clear" w:color="auto" w:fill="auto"/>
            <w:vAlign w:val="center"/>
          </w:tcPr>
          <w:p w14:paraId="3279775F" w14:textId="77777777" w:rsidR="00F849EA" w:rsidRPr="00E21488" w:rsidRDefault="009749BF" w:rsidP="006261BB">
            <w:pPr>
              <w:spacing w:line="276" w:lineRule="auto"/>
              <w:rPr>
                <w:rFonts w:ascii="Calibri" w:hAnsi="Calibri"/>
                <w:bCs/>
                <w:lang w:eastAsia="en-US"/>
              </w:rPr>
            </w:pPr>
            <w:r>
              <w:rPr>
                <w:rFonts w:ascii="Calibri" w:hAnsi="Calibri" w:cs="TrebuchetMS,Bold"/>
                <w:b/>
                <w:bCs/>
                <w:szCs w:val="21"/>
              </w:rPr>
              <w:t>6</w:t>
            </w:r>
            <w:r w:rsidR="00F849EA" w:rsidRPr="00A26A80">
              <w:rPr>
                <w:rFonts w:ascii="Calibri" w:hAnsi="Calibri" w:cs="TrebuchetMS,Bold"/>
                <w:b/>
                <w:bCs/>
                <w:szCs w:val="21"/>
              </w:rPr>
              <w:t xml:space="preserve"> - </w:t>
            </w:r>
            <w:r w:rsidR="00F849EA">
              <w:rPr>
                <w:rFonts w:ascii="Calibri" w:hAnsi="Calibri" w:cs="TrebuchetMS,Bold"/>
                <w:b/>
                <w:bCs/>
                <w:szCs w:val="21"/>
              </w:rPr>
              <w:t xml:space="preserve"> </w:t>
            </w:r>
            <w:r w:rsidR="00F849EA" w:rsidRPr="00072C04">
              <w:rPr>
                <w:rFonts w:ascii="Calibri" w:hAnsi="Calibri" w:cs="TrebuchetMS,Bold"/>
                <w:b/>
                <w:bCs/>
                <w:szCs w:val="21"/>
              </w:rPr>
              <w:t>Calcolatore di bolo e/o suggeritore di dose dispon</w:t>
            </w:r>
            <w:r w:rsidR="00F849EA">
              <w:rPr>
                <w:rFonts w:ascii="Calibri" w:hAnsi="Calibri" w:cs="TrebuchetMS,Bold"/>
                <w:b/>
                <w:bCs/>
                <w:szCs w:val="21"/>
              </w:rPr>
              <w:t xml:space="preserve">ibile sullo strumento o su </w:t>
            </w:r>
            <w:proofErr w:type="spellStart"/>
            <w:proofErr w:type="gramStart"/>
            <w:r w:rsidR="00F849EA" w:rsidRPr="0027257B">
              <w:rPr>
                <w:rFonts w:ascii="Calibri" w:hAnsi="Calibri" w:cs="TrebuchetMS,Bold"/>
                <w:b/>
                <w:bCs/>
                <w:i/>
                <w:szCs w:val="21"/>
              </w:rPr>
              <w:t>app</w:t>
            </w:r>
            <w:proofErr w:type="spellEnd"/>
            <w:r w:rsidR="00F849EA">
              <w:rPr>
                <w:rFonts w:ascii="Calibri" w:hAnsi="Calibri" w:cs="TrebuchetMS,Bold"/>
                <w:b/>
                <w:bCs/>
                <w:szCs w:val="21"/>
              </w:rPr>
              <w:t xml:space="preserve">  registrata</w:t>
            </w:r>
            <w:proofErr w:type="gramEnd"/>
            <w:r w:rsidR="00F849EA">
              <w:rPr>
                <w:rFonts w:ascii="Calibri" w:hAnsi="Calibri" w:cs="TrebuchetMS,Bold"/>
                <w:b/>
                <w:bCs/>
                <w:szCs w:val="21"/>
              </w:rPr>
              <w:t xml:space="preserve"> come dispositivo medico </w:t>
            </w:r>
          </w:p>
          <w:p w14:paraId="78E536D3" w14:textId="77777777" w:rsidR="00F849EA" w:rsidRPr="00A26A80" w:rsidRDefault="00F849EA" w:rsidP="006261BB">
            <w:pPr>
              <w:rPr>
                <w:rFonts w:ascii="Calibri" w:hAnsi="Calibri"/>
                <w:szCs w:val="21"/>
              </w:rPr>
            </w:pPr>
          </w:p>
        </w:tc>
        <w:tc>
          <w:tcPr>
            <w:tcW w:w="3902" w:type="dxa"/>
            <w:shd w:val="clear" w:color="auto" w:fill="auto"/>
            <w:vAlign w:val="center"/>
          </w:tcPr>
          <w:p w14:paraId="0C752927" w14:textId="77777777" w:rsidR="00F849EA" w:rsidRDefault="00F849EA" w:rsidP="006261BB">
            <w:pPr>
              <w:spacing w:line="276" w:lineRule="auto"/>
              <w:rPr>
                <w:rFonts w:ascii="Calibri" w:hAnsi="Calibri" w:cs="TrebuchetMS"/>
                <w:szCs w:val="21"/>
              </w:rPr>
            </w:pPr>
            <w:r w:rsidRPr="00A26A80">
              <w:rPr>
                <w:rFonts w:ascii="Calibri" w:hAnsi="Calibri" w:cs="TrebuchetMS"/>
                <w:szCs w:val="21"/>
              </w:rPr>
              <w:t>Il concorrente dovrà presentare una Relazione Tecnica che consen</w:t>
            </w:r>
            <w:r>
              <w:rPr>
                <w:rFonts w:ascii="Calibri" w:hAnsi="Calibri" w:cs="TrebuchetMS"/>
                <w:szCs w:val="21"/>
              </w:rPr>
              <w:t>ta alla Commissione di valutare</w:t>
            </w:r>
            <w:r w:rsidRPr="00A26A80">
              <w:rPr>
                <w:rFonts w:ascii="Calibri" w:hAnsi="Calibri" w:cs="TrebuchetMS"/>
                <w:szCs w:val="21"/>
              </w:rPr>
              <w:t xml:space="preserve"> </w:t>
            </w:r>
            <w:r>
              <w:rPr>
                <w:rFonts w:ascii="Calibri" w:hAnsi="Calibri" w:cs="TrebuchetMS"/>
                <w:szCs w:val="21"/>
              </w:rPr>
              <w:t xml:space="preserve">la presenza di una funzionalità in grado di calcolare la dose di insulina attraverso informazioni quali, in particolare: </w:t>
            </w:r>
          </w:p>
          <w:p w14:paraId="05B8713F" w14:textId="77777777" w:rsidR="00F849EA" w:rsidRPr="006F5966" w:rsidRDefault="00F849EA" w:rsidP="00F849EA">
            <w:pPr>
              <w:pStyle w:val="Paragrafoelenco"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249" w:hanging="142"/>
              <w:contextualSpacing w:val="0"/>
              <w:jc w:val="left"/>
              <w:rPr>
                <w:rFonts w:ascii="Calibri" w:hAnsi="Calibri" w:cs="TrebuchetMS"/>
                <w:szCs w:val="21"/>
              </w:rPr>
            </w:pPr>
            <w:r w:rsidRPr="006F5966">
              <w:rPr>
                <w:rFonts w:ascii="Calibri" w:hAnsi="Calibri" w:cs="TrebuchetMS"/>
                <w:szCs w:val="21"/>
              </w:rPr>
              <w:t>valori glicemici rilevati</w:t>
            </w:r>
          </w:p>
          <w:p w14:paraId="0FDD3A95" w14:textId="77777777" w:rsidR="00F849EA" w:rsidRPr="006F5966" w:rsidRDefault="00F849EA" w:rsidP="00F849EA">
            <w:pPr>
              <w:pStyle w:val="Paragrafoelenco"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249" w:hanging="142"/>
              <w:contextualSpacing w:val="0"/>
              <w:jc w:val="left"/>
              <w:rPr>
                <w:rFonts w:ascii="Calibri" w:hAnsi="Calibri" w:cs="TrebuchetMS"/>
                <w:szCs w:val="21"/>
              </w:rPr>
            </w:pPr>
            <w:r w:rsidRPr="0027257B">
              <w:rPr>
                <w:rFonts w:ascii="Calibri" w:hAnsi="Calibri" w:cs="TrebuchetMS"/>
                <w:i/>
                <w:szCs w:val="21"/>
              </w:rPr>
              <w:t>target</w:t>
            </w:r>
            <w:r w:rsidRPr="006F5966">
              <w:rPr>
                <w:rFonts w:ascii="Calibri" w:hAnsi="Calibri" w:cs="TrebuchetMS"/>
                <w:szCs w:val="21"/>
              </w:rPr>
              <w:t xml:space="preserve"> glicemici</w:t>
            </w:r>
          </w:p>
          <w:p w14:paraId="351D1E8D" w14:textId="77777777" w:rsidR="00F849EA" w:rsidRPr="006F5966" w:rsidRDefault="00F849EA" w:rsidP="00F849EA">
            <w:pPr>
              <w:pStyle w:val="Paragrafoelenco"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249" w:hanging="142"/>
              <w:contextualSpacing w:val="0"/>
              <w:jc w:val="left"/>
              <w:rPr>
                <w:rFonts w:ascii="Calibri" w:hAnsi="Calibri" w:cs="TrebuchetMS"/>
                <w:szCs w:val="21"/>
              </w:rPr>
            </w:pPr>
            <w:r w:rsidRPr="006F5966">
              <w:rPr>
                <w:rFonts w:ascii="Calibri" w:hAnsi="Calibri" w:cs="TrebuchetMS"/>
                <w:szCs w:val="21"/>
              </w:rPr>
              <w:t xml:space="preserve">assunzione di carboidrati  </w:t>
            </w:r>
          </w:p>
          <w:p w14:paraId="3929D872" w14:textId="77777777" w:rsidR="00F849EA" w:rsidRDefault="00F849EA" w:rsidP="00F849EA">
            <w:pPr>
              <w:pStyle w:val="Paragrafoelenco"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249" w:hanging="142"/>
              <w:contextualSpacing w:val="0"/>
              <w:jc w:val="left"/>
              <w:rPr>
                <w:rFonts w:ascii="Calibri" w:hAnsi="Calibri" w:cs="TrebuchetMS"/>
                <w:szCs w:val="21"/>
              </w:rPr>
            </w:pPr>
            <w:r w:rsidRPr="006F5966">
              <w:rPr>
                <w:rFonts w:ascii="Calibri" w:hAnsi="Calibri" w:cs="TrebuchetMS"/>
                <w:szCs w:val="21"/>
              </w:rPr>
              <w:t>rapporto carboidrati/insulina</w:t>
            </w:r>
          </w:p>
          <w:p w14:paraId="1561635C" w14:textId="77777777" w:rsidR="00F849EA" w:rsidRPr="00A26A80" w:rsidRDefault="00F849EA" w:rsidP="00F849EA">
            <w:pPr>
              <w:pStyle w:val="Paragrafoelenco"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left="249" w:hanging="142"/>
              <w:contextualSpacing w:val="0"/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cs="TrebuchetMS"/>
                <w:szCs w:val="21"/>
              </w:rPr>
              <w:t>durata d’azione dell’insulina</w:t>
            </w:r>
          </w:p>
        </w:tc>
      </w:tr>
      <w:tr w:rsidR="00F849EA" w:rsidRPr="00A26A80" w14:paraId="0D590294" w14:textId="77777777" w:rsidTr="006261BB">
        <w:trPr>
          <w:cantSplit/>
        </w:trPr>
        <w:tc>
          <w:tcPr>
            <w:tcW w:w="3890" w:type="dxa"/>
            <w:shd w:val="clear" w:color="auto" w:fill="auto"/>
            <w:vAlign w:val="center"/>
          </w:tcPr>
          <w:p w14:paraId="70BB1998" w14:textId="77777777" w:rsidR="00F849EA" w:rsidRPr="00A26A80" w:rsidRDefault="00F849EA" w:rsidP="006261BB">
            <w:pPr>
              <w:overflowPunct w:val="0"/>
              <w:textAlignment w:val="baseline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b/>
                <w:bCs/>
                <w:szCs w:val="21"/>
              </w:rPr>
              <w:t>8</w:t>
            </w:r>
            <w:r w:rsidRPr="00A26A80">
              <w:rPr>
                <w:rFonts w:ascii="Calibri" w:hAnsi="Calibri"/>
                <w:b/>
                <w:bCs/>
                <w:szCs w:val="21"/>
              </w:rPr>
              <w:t xml:space="preserve"> - </w:t>
            </w:r>
            <w:r w:rsidRPr="001D5243">
              <w:rPr>
                <w:rFonts w:ascii="Calibri" w:hAnsi="Calibri"/>
                <w:b/>
                <w:color w:val="000000"/>
              </w:rPr>
              <w:t xml:space="preserve">Presenza di indicatori </w:t>
            </w:r>
            <w:r w:rsidR="00C264F0">
              <w:rPr>
                <w:rFonts w:ascii="Calibri" w:hAnsi="Calibri"/>
                <w:b/>
                <w:color w:val="000000"/>
              </w:rPr>
              <w:t xml:space="preserve">visivi ed acustici, </w:t>
            </w:r>
            <w:r w:rsidRPr="001D5243">
              <w:rPr>
                <w:rFonts w:ascii="Calibri" w:hAnsi="Calibri"/>
                <w:b/>
                <w:color w:val="000000"/>
              </w:rPr>
              <w:t>a supporto dell'interpretazione del dato</w:t>
            </w:r>
            <w:r w:rsidRPr="00E21488">
              <w:rPr>
                <w:rFonts w:ascii="Calibri" w:hAnsi="Calibri"/>
                <w:color w:val="000000"/>
              </w:rPr>
              <w:t xml:space="preserve"> </w:t>
            </w:r>
            <w:r w:rsidRPr="00190864">
              <w:rPr>
                <w:rFonts w:ascii="Calibri" w:hAnsi="Calibri"/>
                <w:b/>
                <w:color w:val="000000"/>
              </w:rPr>
              <w:t xml:space="preserve"> 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54D1BD53" w14:textId="77777777" w:rsidR="00F849EA" w:rsidRPr="00A26A80" w:rsidRDefault="00F849EA" w:rsidP="006261BB">
            <w:pPr>
              <w:overflowPunct w:val="0"/>
              <w:textAlignment w:val="baseline"/>
              <w:rPr>
                <w:rFonts w:ascii="Calibri" w:hAnsi="Calibri" w:cs="TrebuchetMS"/>
                <w:szCs w:val="21"/>
              </w:rPr>
            </w:pPr>
            <w:r w:rsidRPr="00A26A80">
              <w:rPr>
                <w:rFonts w:ascii="Calibri" w:hAnsi="Calibri" w:cs="TrebuchetMS"/>
                <w:szCs w:val="21"/>
              </w:rPr>
              <w:t xml:space="preserve">Il concorrente dovrà presentare una Relazione Tecnica </w:t>
            </w:r>
            <w:r>
              <w:rPr>
                <w:rFonts w:ascii="Calibri" w:hAnsi="Calibri" w:cs="TrebuchetMS"/>
                <w:szCs w:val="21"/>
              </w:rPr>
              <w:t xml:space="preserve">che consenta alla Commissione di valutare la presenza di indicatori quali ad </w:t>
            </w:r>
            <w:proofErr w:type="spellStart"/>
            <w:r>
              <w:rPr>
                <w:rFonts w:ascii="Calibri" w:hAnsi="Calibri" w:cs="TrebuchetMS"/>
                <w:szCs w:val="21"/>
              </w:rPr>
              <w:t>es</w:t>
            </w:r>
            <w:proofErr w:type="spellEnd"/>
            <w:r>
              <w:rPr>
                <w:rFonts w:ascii="Calibri" w:hAnsi="Calibri" w:cs="TrebuchetMS"/>
                <w:szCs w:val="21"/>
              </w:rPr>
              <w:t xml:space="preserve">. frecce, colori, simboli grafici, </w:t>
            </w:r>
            <w:r w:rsidR="00C264F0">
              <w:rPr>
                <w:rFonts w:ascii="Calibri" w:hAnsi="Calibri" w:cs="TrebuchetMS"/>
                <w:szCs w:val="21"/>
              </w:rPr>
              <w:t>segnali acustici</w:t>
            </w:r>
            <w:r w:rsidR="00C62018">
              <w:rPr>
                <w:rFonts w:ascii="Calibri" w:hAnsi="Calibri" w:cs="TrebuchetMS"/>
                <w:szCs w:val="21"/>
              </w:rPr>
              <w:t xml:space="preserve"> </w:t>
            </w:r>
            <w:r>
              <w:rPr>
                <w:rFonts w:ascii="Calibri" w:hAnsi="Calibri" w:cs="TrebuchetMS"/>
                <w:szCs w:val="21"/>
              </w:rPr>
              <w:t>e la loro efficacia nel supporto dell’interpretazione dei dati glicemici rilevati</w:t>
            </w:r>
          </w:p>
        </w:tc>
      </w:tr>
      <w:tr w:rsidR="00F849EA" w:rsidRPr="00A26A80" w14:paraId="741B94BC" w14:textId="77777777" w:rsidTr="006261BB">
        <w:trPr>
          <w:cantSplit/>
        </w:trPr>
        <w:tc>
          <w:tcPr>
            <w:tcW w:w="3890" w:type="dxa"/>
            <w:shd w:val="clear" w:color="auto" w:fill="auto"/>
            <w:vAlign w:val="center"/>
          </w:tcPr>
          <w:p w14:paraId="2AC4B10C" w14:textId="77777777" w:rsidR="00F849EA" w:rsidRDefault="009749BF" w:rsidP="009749BF">
            <w:pPr>
              <w:overflowPunct w:val="0"/>
              <w:textAlignment w:val="baseline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/>
                <w:b/>
                <w:bCs/>
                <w:szCs w:val="21"/>
              </w:rPr>
              <w:t>1</w:t>
            </w:r>
            <w:r w:rsidR="00F849EA">
              <w:rPr>
                <w:rFonts w:ascii="Calibri" w:hAnsi="Calibri"/>
                <w:b/>
                <w:bCs/>
                <w:szCs w:val="21"/>
              </w:rPr>
              <w:t xml:space="preserve">0 - </w:t>
            </w:r>
            <w:proofErr w:type="spellStart"/>
            <w:r>
              <w:rPr>
                <w:rFonts w:ascii="Calibri" w:hAnsi="Calibri"/>
                <w:b/>
                <w:bCs/>
                <w:szCs w:val="21"/>
              </w:rPr>
              <w:t>A</w:t>
            </w:r>
            <w:r w:rsidR="00F849EA" w:rsidRPr="0027257B">
              <w:rPr>
                <w:rFonts w:ascii="Calibri" w:hAnsi="Calibri"/>
                <w:b/>
                <w:bCs/>
                <w:i/>
                <w:szCs w:val="21"/>
              </w:rPr>
              <w:t>pp</w:t>
            </w:r>
            <w:proofErr w:type="spellEnd"/>
            <w:r w:rsidR="00F849EA" w:rsidRPr="000569C3">
              <w:rPr>
                <w:rFonts w:ascii="Calibri" w:hAnsi="Calibri"/>
                <w:b/>
                <w:bCs/>
                <w:szCs w:val="21"/>
              </w:rPr>
              <w:t xml:space="preserve"> registrata come dispositivo medico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56C8E58F" w14:textId="77777777" w:rsidR="00F849EA" w:rsidRPr="00A26A80" w:rsidRDefault="00F849EA" w:rsidP="009749BF">
            <w:pPr>
              <w:overflowPunct w:val="0"/>
              <w:textAlignment w:val="baseline"/>
              <w:rPr>
                <w:rFonts w:ascii="Calibri" w:hAnsi="Calibri" w:cs="TrebuchetMS"/>
                <w:szCs w:val="21"/>
              </w:rPr>
            </w:pPr>
            <w:r w:rsidRPr="00A26A80">
              <w:rPr>
                <w:rFonts w:ascii="Calibri" w:hAnsi="Calibri" w:cs="TrebuchetMS"/>
                <w:szCs w:val="21"/>
              </w:rPr>
              <w:t xml:space="preserve">Il concorrente dovrà presentare una Relazione Tecnica che consenta alla </w:t>
            </w:r>
            <w:r w:rsidRPr="000569C3">
              <w:rPr>
                <w:rFonts w:ascii="Calibri" w:hAnsi="Calibri" w:cs="TrebuchetMS"/>
                <w:szCs w:val="21"/>
              </w:rPr>
              <w:t xml:space="preserve">Commissione </w:t>
            </w:r>
            <w:r>
              <w:rPr>
                <w:rFonts w:ascii="Calibri" w:hAnsi="Calibri" w:cs="TrebuchetMS"/>
                <w:szCs w:val="21"/>
              </w:rPr>
              <w:t>di valutare la presenza di f</w:t>
            </w:r>
            <w:r w:rsidRPr="00B7028E">
              <w:rPr>
                <w:rFonts w:ascii="Calibri" w:hAnsi="Calibri" w:cs="TrebuchetMS"/>
                <w:szCs w:val="21"/>
              </w:rPr>
              <w:t>unzionalità dell’</w:t>
            </w:r>
            <w:proofErr w:type="spellStart"/>
            <w:r w:rsidRPr="0027257B">
              <w:rPr>
                <w:rFonts w:ascii="Calibri" w:hAnsi="Calibri" w:cs="TrebuchetMS"/>
                <w:i/>
                <w:szCs w:val="21"/>
              </w:rPr>
              <w:t>app</w:t>
            </w:r>
            <w:proofErr w:type="spellEnd"/>
            <w:r w:rsidRPr="00B7028E">
              <w:rPr>
                <w:rFonts w:ascii="Calibri" w:hAnsi="Calibri" w:cs="TrebuchetMS"/>
                <w:szCs w:val="21"/>
              </w:rPr>
              <w:t xml:space="preserve"> </w:t>
            </w:r>
            <w:r>
              <w:rPr>
                <w:rFonts w:ascii="Calibri" w:hAnsi="Calibri" w:cs="TrebuchetMS"/>
                <w:szCs w:val="21"/>
              </w:rPr>
              <w:t xml:space="preserve">che consentano </w:t>
            </w:r>
            <w:r w:rsidRPr="00B7028E">
              <w:rPr>
                <w:rFonts w:ascii="Calibri" w:hAnsi="Calibri" w:cs="TrebuchetMS"/>
                <w:szCs w:val="21"/>
              </w:rPr>
              <w:t>una migliore gestione dei dati e delle informazioni relative ai valori e agli andamenti glicemici per la personalizzazione della terapia.</w:t>
            </w:r>
            <w:r>
              <w:rPr>
                <w:rFonts w:ascii="Calibri" w:hAnsi="Calibri" w:cs="TrebuchetMS"/>
                <w:szCs w:val="21"/>
              </w:rPr>
              <w:t xml:space="preserve"> Nella valutazione dell’</w:t>
            </w:r>
            <w:proofErr w:type="spellStart"/>
            <w:r>
              <w:rPr>
                <w:rFonts w:ascii="Calibri" w:hAnsi="Calibri" w:cs="TrebuchetMS"/>
                <w:szCs w:val="21"/>
              </w:rPr>
              <w:t>app</w:t>
            </w:r>
            <w:proofErr w:type="spellEnd"/>
            <w:r>
              <w:rPr>
                <w:rFonts w:ascii="Calibri" w:hAnsi="Calibri" w:cs="TrebuchetMS"/>
                <w:szCs w:val="21"/>
              </w:rPr>
              <w:t xml:space="preserve"> non verrà presa in considerazione l’eventuale funzionalità di calcolatore di bolo e/o </w:t>
            </w:r>
            <w:r w:rsidRPr="001F62D3">
              <w:rPr>
                <w:rFonts w:ascii="Calibri" w:hAnsi="Calibri" w:cs="TrebuchetMS"/>
                <w:szCs w:val="21"/>
              </w:rPr>
              <w:t>suggeritore di dose</w:t>
            </w:r>
            <w:r>
              <w:rPr>
                <w:rFonts w:ascii="Calibri" w:hAnsi="Calibri" w:cs="TrebuchetMS"/>
                <w:szCs w:val="21"/>
              </w:rPr>
              <w:t xml:space="preserve"> che sia stata già oggetto di attribuzione del punteggio di cui al criterio di valutazione N.</w:t>
            </w:r>
            <w:r w:rsidR="009749BF">
              <w:rPr>
                <w:rFonts w:ascii="Calibri" w:hAnsi="Calibri" w:cs="TrebuchetMS"/>
                <w:szCs w:val="21"/>
              </w:rPr>
              <w:t>6</w:t>
            </w:r>
          </w:p>
        </w:tc>
      </w:tr>
      <w:tr w:rsidR="009749BF" w:rsidRPr="00A26A80" w14:paraId="65C6230C" w14:textId="77777777" w:rsidTr="006261BB">
        <w:trPr>
          <w:cantSplit/>
        </w:trPr>
        <w:tc>
          <w:tcPr>
            <w:tcW w:w="3890" w:type="dxa"/>
            <w:shd w:val="clear" w:color="auto" w:fill="auto"/>
            <w:vAlign w:val="center"/>
          </w:tcPr>
          <w:p w14:paraId="6125DED0" w14:textId="77777777" w:rsidR="009749BF" w:rsidRDefault="009749BF" w:rsidP="005E7AE4">
            <w:pPr>
              <w:overflowPunct w:val="0"/>
              <w:textAlignment w:val="baseline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/>
                <w:b/>
                <w:bCs/>
                <w:szCs w:val="21"/>
              </w:rPr>
              <w:t>1</w:t>
            </w:r>
            <w:r w:rsidR="005E7AE4">
              <w:rPr>
                <w:rFonts w:ascii="Calibri" w:hAnsi="Calibri"/>
                <w:b/>
                <w:bCs/>
                <w:szCs w:val="21"/>
              </w:rPr>
              <w:t>3</w:t>
            </w:r>
            <w:r>
              <w:rPr>
                <w:rFonts w:ascii="Calibri" w:hAnsi="Calibri"/>
                <w:b/>
                <w:bCs/>
                <w:szCs w:val="21"/>
              </w:rPr>
              <w:t xml:space="preserve"> – Meccanismo di espulsione della lancetta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04E1CEC6" w14:textId="77777777" w:rsidR="009749BF" w:rsidRPr="00A26A80" w:rsidRDefault="009749BF" w:rsidP="005E7AE4">
            <w:pPr>
              <w:overflowPunct w:val="0"/>
              <w:textAlignment w:val="baseline"/>
              <w:rPr>
                <w:rFonts w:ascii="Calibri" w:hAnsi="Calibri" w:cs="TrebuchetMS"/>
                <w:szCs w:val="21"/>
              </w:rPr>
            </w:pPr>
            <w:r>
              <w:rPr>
                <w:rFonts w:ascii="Calibri" w:hAnsi="Calibri" w:cs="TrebuchetMS"/>
                <w:szCs w:val="21"/>
              </w:rPr>
              <w:t>Il concorrente dovrà presentare una Relazione Tecnica che consenta alla Commissione di valutare il meccanismo di espulsione dell</w:t>
            </w:r>
            <w:r w:rsidR="005E7AE4">
              <w:rPr>
                <w:rFonts w:ascii="Calibri" w:hAnsi="Calibri" w:cs="TrebuchetMS"/>
                <w:szCs w:val="21"/>
              </w:rPr>
              <w:t>a lancetta che consenta lo smaltimento delle</w:t>
            </w:r>
            <w:r>
              <w:rPr>
                <w:rFonts w:ascii="Calibri" w:hAnsi="Calibri" w:cs="TrebuchetMS"/>
                <w:szCs w:val="21"/>
              </w:rPr>
              <w:t xml:space="preserve"> lancette usate senza rischio di lesioni accidentali</w:t>
            </w:r>
          </w:p>
        </w:tc>
      </w:tr>
    </w:tbl>
    <w:p w14:paraId="7D3B6822" w14:textId="77777777" w:rsidR="003F59CC" w:rsidRDefault="003F59CC" w:rsidP="00C62018"/>
    <w:sectPr w:rsidR="003F59CC" w:rsidSect="006A02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F1441" w14:textId="77777777" w:rsidR="00A66A04" w:rsidRDefault="00A66A04" w:rsidP="00175ADC">
      <w:pPr>
        <w:spacing w:line="240" w:lineRule="auto"/>
      </w:pPr>
      <w:r>
        <w:separator/>
      </w:r>
    </w:p>
  </w:endnote>
  <w:endnote w:type="continuationSeparator" w:id="0">
    <w:p w14:paraId="67D1F8AB" w14:textId="77777777" w:rsidR="00A66A04" w:rsidRDefault="00A66A04" w:rsidP="0017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">
    <w:charset w:val="00"/>
    <w:family w:val="auto"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52F66" w14:textId="77777777" w:rsidR="00B37BC3" w:rsidRDefault="00B37B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9B846" w14:textId="7D707A33" w:rsidR="00175ADC" w:rsidRDefault="006A0208" w:rsidP="00F849EA">
    <w:pPr>
      <w:pStyle w:val="Pidipagina"/>
    </w:pPr>
    <w:r>
      <w:t xml:space="preserve">Moduli di dichiarazione - </w:t>
    </w:r>
    <w:r w:rsidR="00F849EA">
      <w:t>G</w:t>
    </w:r>
    <w:r w:rsidR="00F849EA" w:rsidRPr="00C6051F">
      <w:t xml:space="preserve">ara a procedura aperta ai sensi del </w:t>
    </w:r>
    <w:proofErr w:type="gramStart"/>
    <w:r w:rsidR="00F849EA" w:rsidRPr="00C6051F">
      <w:t>D.Lgs</w:t>
    </w:r>
    <w:proofErr w:type="gramEnd"/>
    <w:r w:rsidR="00F849EA" w:rsidRPr="00C6051F">
      <w:t xml:space="preserve">. </w:t>
    </w:r>
    <w:r w:rsidR="00F849EA">
      <w:t>50</w:t>
    </w:r>
    <w:r w:rsidR="00F849EA" w:rsidRPr="00C6051F">
      <w:t>/20</w:t>
    </w:r>
    <w:r w:rsidR="00F849EA">
      <w:t>1</w:t>
    </w:r>
    <w:r w:rsidR="00F849EA" w:rsidRPr="00C6051F">
      <w:t>6 e s.m.i., per</w:t>
    </w:r>
    <w:r w:rsidR="00F849EA">
      <w:t xml:space="preserve"> la fornitura di Presidi per l’autocontrollo della glicemia per le Pubbliche Amministrazioni, ed. 2, ID </w:t>
    </w:r>
    <w:r>
      <w:t xml:space="preserve">2398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CA2EA" w14:textId="7ECA4103" w:rsidR="00831964" w:rsidRDefault="00B37BC3" w:rsidP="00F849EA">
    <w:pPr>
      <w:pStyle w:val="Pidipagina"/>
    </w:pPr>
    <w:r>
      <w:t xml:space="preserve">Moduli di dichiarazione - </w:t>
    </w:r>
    <w:r w:rsidR="00831964">
      <w:t>G</w:t>
    </w:r>
    <w:r w:rsidR="00831964" w:rsidRPr="00C6051F">
      <w:t xml:space="preserve">ara a procedura aperta ai sensi del </w:t>
    </w:r>
    <w:proofErr w:type="gramStart"/>
    <w:r w:rsidR="00831964" w:rsidRPr="00C6051F">
      <w:t>D.Lgs</w:t>
    </w:r>
    <w:proofErr w:type="gramEnd"/>
    <w:r w:rsidR="00831964" w:rsidRPr="00C6051F">
      <w:t xml:space="preserve">. </w:t>
    </w:r>
    <w:r w:rsidR="00831964">
      <w:t>50</w:t>
    </w:r>
    <w:r w:rsidR="00831964" w:rsidRPr="00C6051F">
      <w:t>/20</w:t>
    </w:r>
    <w:r w:rsidR="00831964">
      <w:t>1</w:t>
    </w:r>
    <w:r w:rsidR="00831964" w:rsidRPr="00C6051F">
      <w:t>6 e s.m.i., per</w:t>
    </w:r>
    <w:r w:rsidR="00831964">
      <w:t xml:space="preserve"> la fornitura di Presidi per l’autocontrollo della glicemia per le Pubbliche Amministrazioni, ed. </w:t>
    </w:r>
    <w:r>
      <w:t xml:space="preserve">2, ID 2398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9E7C8" w14:textId="77777777" w:rsidR="00A66A04" w:rsidRDefault="00A66A04" w:rsidP="00175ADC">
      <w:pPr>
        <w:spacing w:line="240" w:lineRule="auto"/>
      </w:pPr>
      <w:r>
        <w:separator/>
      </w:r>
    </w:p>
  </w:footnote>
  <w:footnote w:type="continuationSeparator" w:id="0">
    <w:p w14:paraId="413FAC62" w14:textId="77777777" w:rsidR="00A66A04" w:rsidRDefault="00A66A04" w:rsidP="00175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09EA" w14:textId="77777777" w:rsidR="00B37BC3" w:rsidRDefault="00B37B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4DD2A" w14:textId="7DD82EBD" w:rsidR="00156E6D" w:rsidRDefault="006A0208" w:rsidP="00690CDE">
    <w:pPr>
      <w:pStyle w:val="Intestazione"/>
    </w:pPr>
  </w:p>
  <w:p w14:paraId="43054CD4" w14:textId="77777777" w:rsidR="003512B5" w:rsidRDefault="006A0208">
    <w:pPr>
      <w:pStyle w:val="TAGTECNICI"/>
    </w:pPr>
    <w:sdt>
      <w:sdtPr>
        <w:alias w:val="NomeTemplate"/>
        <w:tag w:val="Version_2_0"/>
        <w:id w:val="1720164531"/>
        <w:lock w:val="sdtContentLocked"/>
      </w:sdtPr>
      <w:sdtEndPr/>
      <w:sdtContent>
        <w:r w:rsidR="007F4569">
          <w:t>ALL06AQ</w:t>
        </w:r>
      </w:sdtContent>
    </w:sdt>
  </w:p>
  <w:p w14:paraId="3D61402D" w14:textId="77777777" w:rsidR="003512B5" w:rsidRDefault="003512B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1E76D" w14:textId="77777777" w:rsidR="00B37BC3" w:rsidRDefault="00B37B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45050"/>
    <w:multiLevelType w:val="hybridMultilevel"/>
    <w:tmpl w:val="78E0CFB8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62964"/>
    <w:multiLevelType w:val="hybridMultilevel"/>
    <w:tmpl w:val="13FE6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C"/>
    <w:rsid w:val="00175ADC"/>
    <w:rsid w:val="00330DA6"/>
    <w:rsid w:val="003512B5"/>
    <w:rsid w:val="003F59CC"/>
    <w:rsid w:val="00475F38"/>
    <w:rsid w:val="00592490"/>
    <w:rsid w:val="005E7AE4"/>
    <w:rsid w:val="00622F82"/>
    <w:rsid w:val="006A0208"/>
    <w:rsid w:val="007F4569"/>
    <w:rsid w:val="00831964"/>
    <w:rsid w:val="009749BF"/>
    <w:rsid w:val="00A66A04"/>
    <w:rsid w:val="00AE3595"/>
    <w:rsid w:val="00B37BC3"/>
    <w:rsid w:val="00C264F0"/>
    <w:rsid w:val="00C62018"/>
    <w:rsid w:val="00DB6C0A"/>
    <w:rsid w:val="00E454F7"/>
    <w:rsid w:val="00F8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21D50B"/>
  <w15:chartTrackingRefBased/>
  <w15:docId w15:val="{EA7BA46E-21C9-4967-96FD-E5845633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AD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849E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49EA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175ADC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75ADC"/>
    <w:rPr>
      <w:rFonts w:ascii="Trebuchet MS" w:hAnsi="Trebuchet MS"/>
      <w:b/>
      <w:bCs/>
      <w:sz w:val="20"/>
    </w:rPr>
  </w:style>
  <w:style w:type="character" w:styleId="Numeropagina">
    <w:name w:val="page number"/>
    <w:rsid w:val="00175AD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75ADC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831964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175ADC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831964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175ADC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175ADC"/>
    <w:rPr>
      <w:i/>
      <w:iCs/>
    </w:rPr>
  </w:style>
  <w:style w:type="paragraph" w:styleId="Corpotesto">
    <w:name w:val="Body Text"/>
    <w:basedOn w:val="Normale"/>
    <w:link w:val="CorpotestoCarattere"/>
    <w:rsid w:val="00175ADC"/>
  </w:style>
  <w:style w:type="character" w:customStyle="1" w:styleId="CorpotestoCarattere">
    <w:name w:val="Corpo testo Carattere"/>
    <w:basedOn w:val="Carpredefinitoparagrafo"/>
    <w:link w:val="Corpotesto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75ADC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175AD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75AD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75AD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175ADC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75AD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175ADC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5AD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9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964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3196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849EA"/>
    <w:pPr>
      <w:ind w:left="720"/>
      <w:contextualSpacing/>
    </w:pPr>
  </w:style>
  <w:style w:type="paragraph" w:customStyle="1" w:styleId="Default">
    <w:name w:val="Default"/>
    <w:uiPriority w:val="99"/>
    <w:rsid w:val="00C62018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30D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0DA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0DA6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0D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0DA6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5</cp:revision>
  <dcterms:created xsi:type="dcterms:W3CDTF">2021-09-23T09:31:00Z</dcterms:created>
  <dcterms:modified xsi:type="dcterms:W3CDTF">2021-09-29T10:32:00Z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19CF5B1-BD74-4CA9-A159-488C5A19781D}" pid="2" name="NomeTemplate">
    <vt:lpwstr>ALL06AQ</vt:lpwstr>
  </property>
  <property fmtid="{7B225220-4FCD-4FD7-95F2-BE90E0369E16}" pid="3" name="MajorVersion">
    <vt:lpwstr>2</vt:lpwstr>
  </property>
  <property fmtid="{579B530C-DFA8-4D90-82ED-5FA1310ED0CE}" pid="4" name="MinorVersion">
    <vt:lpwstr>0</vt:lpwstr>
  </property>
</Properties>
</file>