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2FC" w:rsidRDefault="00AE62FC" w:rsidP="00AE62FC">
      <w:pPr>
        <w:pStyle w:val="CLASSIFICAZIONEBODY0"/>
      </w:pPr>
    </w:p>
    <w:p w:rsidR="00AE62FC" w:rsidRDefault="00AE62FC" w:rsidP="00AE62FC"/>
    <w:p w:rsidR="00AE62FC" w:rsidRDefault="00AE62FC" w:rsidP="00AE62FC">
      <w:pPr>
        <w:pStyle w:val="StileTitolocopertinaInterlineaesatta15pt"/>
        <w:jc w:val="center"/>
        <w:rPr>
          <w:rFonts w:ascii="Calibri" w:hAnsi="Calibri"/>
          <w:b/>
          <w:sz w:val="20"/>
        </w:rPr>
      </w:pPr>
      <w:bookmarkStart w:id="0" w:name="_Toc501101485"/>
      <w:r w:rsidRPr="0047749B">
        <w:rPr>
          <w:rFonts w:ascii="Calibri" w:hAnsi="Calibri"/>
          <w:b/>
          <w:sz w:val="20"/>
        </w:rPr>
        <w:t xml:space="preserve">ALLEGATO </w:t>
      </w:r>
      <w:r w:rsidR="00063941">
        <w:rPr>
          <w:rFonts w:ascii="Calibri" w:hAnsi="Calibri"/>
          <w:b/>
          <w:sz w:val="20"/>
        </w:rPr>
        <w:t>7</w:t>
      </w:r>
    </w:p>
    <w:bookmarkEnd w:id="0"/>
    <w:p w:rsidR="00AE62FC" w:rsidRPr="0047749B" w:rsidRDefault="00063941" w:rsidP="00AE62FC">
      <w:pPr>
        <w:pStyle w:val="StileTitolocopertinaInterlineaesatta15pt"/>
        <w:jc w:val="center"/>
        <w:rPr>
          <w:rFonts w:ascii="Calibri" w:hAnsi="Calibri" w:cs="Trebuchet MS"/>
          <w:b/>
          <w:i/>
          <w:sz w:val="20"/>
          <w:szCs w:val="24"/>
          <w:lang w:eastAsia="ar-SA"/>
        </w:rPr>
      </w:pPr>
      <w:r>
        <w:rPr>
          <w:rFonts w:ascii="Calibri" w:hAnsi="Calibri"/>
          <w:b/>
          <w:sz w:val="20"/>
        </w:rPr>
        <w:t>FACSIMILE GARANZIA DEFINITIVA</w:t>
      </w:r>
    </w:p>
    <w:p w:rsidR="00AE62FC" w:rsidRDefault="00AE62FC" w:rsidP="00AE62FC">
      <w:pPr>
        <w:suppressAutoHyphens/>
        <w:ind w:right="-2"/>
        <w:rPr>
          <w:rFonts w:ascii="Calibri" w:hAnsi="Calibri"/>
          <w:lang w:eastAsia="ar-SA"/>
        </w:rPr>
      </w:pPr>
    </w:p>
    <w:p w:rsidR="00AE62FC" w:rsidRDefault="00AE62FC" w:rsidP="00AE62FC">
      <w:pPr>
        <w:spacing w:after="200" w:line="276" w:lineRule="auto"/>
        <w:jc w:val="center"/>
        <w:rPr>
          <w:rFonts w:ascii="Calibri" w:hAnsi="Calibri"/>
          <w:lang w:eastAsia="ar-SA"/>
        </w:rPr>
      </w:pPr>
      <w:r w:rsidRPr="00166119">
        <w:rPr>
          <w:rStyle w:val="BLOCKBOLD"/>
          <w:rFonts w:ascii="Calibri" w:eastAsia="Calibri" w:hAnsi="Calibri"/>
        </w:rPr>
        <w:t xml:space="preserve">Gara a procedura aperta ai sensi del D.Lgs. 50/2016 e s.m.i., per </w:t>
      </w:r>
      <w:r w:rsidR="007E1677">
        <w:rPr>
          <w:rStyle w:val="BLOCKBOLD"/>
          <w:rFonts w:ascii="Calibri" w:eastAsia="Calibri" w:hAnsi="Calibri"/>
        </w:rPr>
        <w:t>L’EROGAZIONE</w:t>
      </w:r>
      <w:r w:rsidRPr="00166119">
        <w:rPr>
          <w:rStyle w:val="BLOCKBOLD"/>
          <w:rFonts w:ascii="Calibri" w:eastAsia="Calibri" w:hAnsi="Calibri"/>
        </w:rPr>
        <w:t xml:space="preserve"> di servizi di banche dati per la vigilanza ispettiva per Inail – ID 2394</w:t>
      </w:r>
    </w:p>
    <w:p w:rsidR="00265CD8" w:rsidRPr="00CA37D0" w:rsidRDefault="00265CD8" w:rsidP="00265CD8">
      <w:pPr>
        <w:rPr>
          <w:rFonts w:ascii="Calibri" w:hAnsi="Calibri"/>
        </w:rPr>
      </w:pPr>
    </w:p>
    <w:p w:rsidR="00265CD8" w:rsidRPr="00CA37D0" w:rsidRDefault="00265CD8" w:rsidP="00265CD8">
      <w:pPr>
        <w:rPr>
          <w:rFonts w:ascii="Calibri" w:hAnsi="Calibri"/>
        </w:rPr>
      </w:pPr>
      <w:r w:rsidRPr="00CA37D0">
        <w:rPr>
          <w:rFonts w:ascii="Calibri" w:hAnsi="Calibri"/>
        </w:rPr>
        <w:br w:type="page"/>
      </w: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lastRenderedPageBreak/>
        <w:t>ATTO DI FIDEIUSSIONE (</w:t>
      </w:r>
      <w:r w:rsidRPr="00F11598">
        <w:rPr>
          <w:rFonts w:asciiTheme="minorHAnsi" w:hAnsiTheme="minorHAnsi" w:cstheme="minorHAnsi"/>
          <w:b/>
          <w:bCs/>
          <w:i/>
          <w:color w:val="1B35A5"/>
        </w:rPr>
        <w:t>se Garante Banca o Intermediario finanziario</w:t>
      </w:r>
      <w:r w:rsidRPr="00F11598">
        <w:rPr>
          <w:rFonts w:asciiTheme="minorHAnsi" w:hAnsiTheme="minorHAnsi" w:cstheme="minorHAnsi"/>
          <w:b/>
          <w:bCs/>
        </w:rPr>
        <w:t>)</w:t>
      </w: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t>POLIZZA FIDEIUSSORIA (</w:t>
      </w:r>
      <w:r w:rsidRPr="00F11598">
        <w:rPr>
          <w:rFonts w:asciiTheme="minorHAnsi" w:hAnsiTheme="minorHAnsi" w:cstheme="minorHAnsi"/>
          <w:b/>
          <w:bCs/>
          <w:i/>
          <w:color w:val="1B35A5"/>
        </w:rPr>
        <w:t>se Garante Impresa di assicurazione</w:t>
      </w:r>
      <w:r w:rsidRPr="00F11598">
        <w:rPr>
          <w:rFonts w:asciiTheme="minorHAnsi" w:hAnsiTheme="minorHAnsi" w:cstheme="minorHAnsi"/>
          <w:b/>
          <w:bCs/>
        </w:rPr>
        <w:t>)</w:t>
      </w: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t>ai sensi dell’art. 103, comma 1, del d.lgs. n. 50/2016</w:t>
      </w:r>
    </w:p>
    <w:p w:rsidR="00063941" w:rsidRPr="00F11598" w:rsidRDefault="00063941" w:rsidP="00063941">
      <w:pPr>
        <w:autoSpaceDE w:val="0"/>
        <w:autoSpaceDN w:val="0"/>
        <w:adjustRightInd w:val="0"/>
        <w:jc w:val="center"/>
        <w:rPr>
          <w:rFonts w:asciiTheme="minorHAnsi" w:hAnsiTheme="minorHAnsi" w:cstheme="minorHAnsi"/>
        </w:rPr>
      </w:pPr>
      <w:r w:rsidRPr="00F11598">
        <w:rPr>
          <w:rFonts w:asciiTheme="minorHAnsi" w:hAnsiTheme="minorHAnsi" w:cstheme="minorHAnsi"/>
        </w:rPr>
        <w:t>Schema tipo 1.2 - Scheda tecnica 1.2.</w:t>
      </w:r>
    </w:p>
    <w:p w:rsidR="00063941" w:rsidRPr="00F11598" w:rsidRDefault="00063941" w:rsidP="00063941">
      <w:pPr>
        <w:autoSpaceDE w:val="0"/>
        <w:autoSpaceDN w:val="0"/>
        <w:adjustRightInd w:val="0"/>
        <w:jc w:val="center"/>
        <w:rPr>
          <w:rFonts w:asciiTheme="minorHAnsi" w:hAnsiTheme="minorHAnsi" w:cstheme="minorHAnsi"/>
          <w:b/>
          <w:bCs/>
        </w:rPr>
      </w:pP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t>GARANZIA FIDEIUSSORIA DEFINITIVA</w:t>
      </w: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t>(Lavori, Servizi e Forniture)</w:t>
      </w:r>
    </w:p>
    <w:p w:rsidR="00063941" w:rsidRPr="00F11598" w:rsidRDefault="00063941" w:rsidP="00063941">
      <w:pPr>
        <w:autoSpaceDE w:val="0"/>
        <w:autoSpaceDN w:val="0"/>
        <w:adjustRightInd w:val="0"/>
        <w:jc w:val="center"/>
        <w:rPr>
          <w:rFonts w:asciiTheme="minorHAnsi" w:hAnsiTheme="minorHAnsi" w:cstheme="minorHAnsi"/>
          <w:b/>
          <w:bCs/>
        </w:rPr>
      </w:pPr>
      <w:r w:rsidRPr="00F11598">
        <w:rPr>
          <w:rFonts w:asciiTheme="minorHAnsi" w:hAnsiTheme="minorHAnsi" w:cstheme="minorHAnsi"/>
          <w:b/>
          <w:bCs/>
        </w:rPr>
        <w:t>(art. 103, comma 1, del Codice)</w:t>
      </w:r>
    </w:p>
    <w:p w:rsidR="00063941" w:rsidRPr="00F11598" w:rsidRDefault="00063941" w:rsidP="00063941">
      <w:pPr>
        <w:autoSpaceDE w:val="0"/>
        <w:autoSpaceDN w:val="0"/>
        <w:adjustRightInd w:val="0"/>
        <w:rPr>
          <w:rFonts w:asciiTheme="minorHAnsi" w:hAnsiTheme="minorHAnsi" w:cstheme="minorHAnsi"/>
          <w:color w:val="444444"/>
          <w:sz w:val="23"/>
          <w:szCs w:val="23"/>
        </w:rPr>
      </w:pPr>
      <w:r w:rsidRPr="00F11598">
        <w:rPr>
          <w:rFonts w:asciiTheme="minorHAnsi" w:hAnsiTheme="minorHAnsi" w:cstheme="minorHAnsi"/>
        </w:rPr>
        <w:t xml:space="preserve">La presente Scheda Tecnica costituisce parte integrante della garanzia fideiussoria conforme allo Schema Tipo 1.2 di cui al </w:t>
      </w:r>
      <w:proofErr w:type="spellStart"/>
      <w:r w:rsidRPr="00F11598">
        <w:rPr>
          <w:rFonts w:asciiTheme="minorHAnsi" w:hAnsiTheme="minorHAnsi" w:cstheme="minorHAnsi"/>
        </w:rPr>
        <w:t>d.m.</w:t>
      </w:r>
      <w:proofErr w:type="spellEnd"/>
      <w:r w:rsidRPr="00F11598">
        <w:rPr>
          <w:rFonts w:asciiTheme="minorHAnsi" w:hAnsiTheme="minorHAnsi" w:cstheme="minorHAnsi"/>
        </w:rPr>
        <w:t xml:space="preserve"> del Ministero dello Sviluppo economico 19 gennaio 2018, n. 31</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b/>
        </w:rPr>
      </w:pPr>
      <w:r w:rsidRPr="00F11598">
        <w:rPr>
          <w:rFonts w:asciiTheme="minorHAnsi" w:hAnsiTheme="minorHAnsi" w:cstheme="minorHAnsi"/>
          <w:b/>
        </w:rPr>
        <w:t xml:space="preserve">Garanzia fideiussoria n. </w:t>
      </w:r>
    </w:p>
    <w:p w:rsidR="00063941" w:rsidRPr="00F11598" w:rsidRDefault="00063941" w:rsidP="00063941">
      <w:pPr>
        <w:autoSpaceDE w:val="0"/>
        <w:autoSpaceDN w:val="0"/>
        <w:adjustRightInd w:val="0"/>
        <w:rPr>
          <w:rFonts w:asciiTheme="minorHAnsi" w:hAnsiTheme="minorHAnsi" w:cstheme="minorHAnsi"/>
          <w:b/>
        </w:rPr>
      </w:pPr>
      <w:r w:rsidRPr="00F11598">
        <w:rPr>
          <w:rFonts w:asciiTheme="minorHAnsi" w:hAnsiTheme="minorHAnsi" w:cstheme="minorHAnsi"/>
          <w:b/>
        </w:rPr>
        <w:t>________________________________</w:t>
      </w:r>
    </w:p>
    <w:p w:rsidR="00063941" w:rsidRPr="00F11598" w:rsidRDefault="00063941" w:rsidP="00063941">
      <w:pPr>
        <w:autoSpaceDE w:val="0"/>
        <w:autoSpaceDN w:val="0"/>
        <w:adjustRightInd w:val="0"/>
        <w:rPr>
          <w:rFonts w:asciiTheme="minorHAnsi" w:hAnsiTheme="minorHAnsi" w:cstheme="minorHAnsi"/>
          <w:b/>
        </w:rPr>
      </w:pP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b/>
        </w:rPr>
        <w:t>Garante</w:t>
      </w:r>
      <w:r w:rsidRPr="00F11598">
        <w:rPr>
          <w:rFonts w:asciiTheme="minorHAnsi" w:hAnsiTheme="minorHAnsi" w:cstheme="minorHAnsi"/>
        </w:rPr>
        <w:t xml:space="preserve"> </w:t>
      </w: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b/>
          <w:bCs/>
          <w:i/>
          <w:color w:val="1B35A5"/>
        </w:rPr>
        <w:t>(direzione/denominazione, dipendenza, agenzia, ecc., nonché estremi autorizzazione e numero iscrizione Albo/Registro/Elenco</w:t>
      </w:r>
      <w:r w:rsidRPr="00F11598">
        <w:rPr>
          <w:rFonts w:asciiTheme="minorHAnsi" w:hAnsiTheme="minorHAnsi" w:cstheme="minorHAnsi"/>
        </w:rPr>
        <w:t xml:space="preserve">) _______________ </w:t>
      </w:r>
    </w:p>
    <w:p w:rsidR="00063941" w:rsidRPr="00F11598" w:rsidRDefault="00063941" w:rsidP="00063941">
      <w:pPr>
        <w:autoSpaceDE w:val="0"/>
        <w:autoSpaceDN w:val="0"/>
        <w:adjustRightInd w:val="0"/>
        <w:rPr>
          <w:rFonts w:asciiTheme="minorHAnsi" w:hAnsiTheme="minorHAnsi" w:cstheme="minorHAnsi"/>
        </w:rPr>
      </w:pPr>
      <w:proofErr w:type="gramStart"/>
      <w:r w:rsidRPr="00F11598">
        <w:rPr>
          <w:rFonts w:asciiTheme="minorHAnsi" w:hAnsiTheme="minorHAnsi" w:cstheme="minorHAnsi"/>
        </w:rPr>
        <w:t>Città  _</w:t>
      </w:r>
      <w:proofErr w:type="gramEnd"/>
      <w:r w:rsidRPr="00F11598">
        <w:rPr>
          <w:rFonts w:asciiTheme="minorHAnsi" w:hAnsiTheme="minorHAnsi" w:cstheme="minorHAnsi"/>
        </w:rPr>
        <w:t xml:space="preserve">_________ Via ________ CAP </w:t>
      </w:r>
      <w:proofErr w:type="spellStart"/>
      <w:r w:rsidRPr="00F11598">
        <w:rPr>
          <w:rFonts w:asciiTheme="minorHAnsi" w:hAnsiTheme="minorHAnsi" w:cstheme="minorHAnsi"/>
        </w:rPr>
        <w:t>Prov</w:t>
      </w:r>
      <w:proofErr w:type="spellEnd"/>
      <w:r w:rsidRPr="00F11598">
        <w:rPr>
          <w:rFonts w:asciiTheme="minorHAnsi" w:hAnsiTheme="minorHAnsi" w:cstheme="minorHAnsi"/>
        </w:rPr>
        <w:t>. __________ C.F./P.IVA ___________ PEC _____</w:t>
      </w:r>
    </w:p>
    <w:p w:rsidR="00063941" w:rsidRPr="00F11598" w:rsidRDefault="00063941" w:rsidP="00063941">
      <w:pPr>
        <w:autoSpaceDE w:val="0"/>
        <w:autoSpaceDN w:val="0"/>
        <w:adjustRightInd w:val="0"/>
        <w:rPr>
          <w:rFonts w:asciiTheme="minorHAnsi" w:hAnsiTheme="minorHAnsi" w:cstheme="minorHAnsi"/>
          <w:b/>
        </w:rPr>
      </w:pPr>
    </w:p>
    <w:p w:rsidR="00063941" w:rsidRPr="00F11598" w:rsidRDefault="00063941" w:rsidP="00063941">
      <w:pPr>
        <w:autoSpaceDE w:val="0"/>
        <w:autoSpaceDN w:val="0"/>
        <w:adjustRightInd w:val="0"/>
        <w:rPr>
          <w:rFonts w:asciiTheme="minorHAnsi" w:hAnsiTheme="minorHAnsi" w:cstheme="minorHAnsi"/>
          <w:b/>
        </w:rPr>
      </w:pPr>
      <w:r w:rsidRPr="00F11598">
        <w:rPr>
          <w:rFonts w:asciiTheme="minorHAnsi" w:hAnsiTheme="minorHAnsi" w:cstheme="minorHAnsi"/>
          <w:b/>
        </w:rPr>
        <w:t>Contraente</w:t>
      </w: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b/>
        </w:rPr>
        <w:t>___________________</w:t>
      </w: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 xml:space="preserve">Città _____________ Via ___________ </w:t>
      </w:r>
      <w:proofErr w:type="gramStart"/>
      <w:r w:rsidRPr="00F11598">
        <w:rPr>
          <w:rFonts w:asciiTheme="minorHAnsi" w:hAnsiTheme="minorHAnsi" w:cstheme="minorHAnsi"/>
        </w:rPr>
        <w:t>CAP  _</w:t>
      </w:r>
      <w:proofErr w:type="gramEnd"/>
      <w:r w:rsidRPr="00F11598">
        <w:rPr>
          <w:rFonts w:asciiTheme="minorHAnsi" w:hAnsiTheme="minorHAnsi" w:cstheme="minorHAnsi"/>
        </w:rPr>
        <w:t xml:space="preserve">_________ </w:t>
      </w:r>
      <w:proofErr w:type="spellStart"/>
      <w:r w:rsidRPr="00F11598">
        <w:rPr>
          <w:rFonts w:asciiTheme="minorHAnsi" w:hAnsiTheme="minorHAnsi" w:cstheme="minorHAnsi"/>
        </w:rPr>
        <w:t>Prov</w:t>
      </w:r>
      <w:proofErr w:type="spellEnd"/>
      <w:r w:rsidRPr="00F11598">
        <w:rPr>
          <w:rFonts w:asciiTheme="minorHAnsi" w:hAnsiTheme="minorHAnsi" w:cstheme="minorHAnsi"/>
        </w:rPr>
        <w:t>. ________ C.F./P.IVA __________ PEC _____________</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rPr>
          <w:rFonts w:asciiTheme="minorHAnsi" w:hAnsiTheme="minorHAnsi" w:cstheme="minorHAnsi"/>
        </w:rPr>
      </w:pPr>
      <w:r w:rsidRPr="00F11598">
        <w:rPr>
          <w:rFonts w:asciiTheme="minorHAnsi" w:hAnsiTheme="minorHAnsi" w:cstheme="minorHAnsi"/>
          <w:b/>
        </w:rPr>
        <w:t xml:space="preserve">Stazione appaltante e Beneficiario: </w:t>
      </w:r>
      <w:r w:rsidRPr="00F11598">
        <w:rPr>
          <w:rFonts w:asciiTheme="minorHAnsi" w:hAnsiTheme="minorHAnsi" w:cstheme="minorHAnsi"/>
        </w:rPr>
        <w:t xml:space="preserve">INAIL – Direzione Centrale per l’Organizzazione Digitale - </w:t>
      </w:r>
      <w:proofErr w:type="spellStart"/>
      <w:r w:rsidRPr="00F11598">
        <w:rPr>
          <w:rFonts w:asciiTheme="minorHAnsi" w:hAnsiTheme="minorHAnsi" w:cstheme="minorHAnsi"/>
        </w:rPr>
        <w:t>Pec</w:t>
      </w:r>
      <w:proofErr w:type="spellEnd"/>
      <w:r w:rsidRPr="00F11598">
        <w:rPr>
          <w:rFonts w:asciiTheme="minorHAnsi" w:hAnsiTheme="minorHAnsi" w:cstheme="minorHAnsi"/>
        </w:rPr>
        <w:t xml:space="preserve">: </w:t>
      </w:r>
      <w:hyperlink r:id="rId7" w:history="1">
        <w:r w:rsidRPr="00F11598">
          <w:rPr>
            <w:rStyle w:val="Collegamentoipertestuale"/>
            <w:rFonts w:asciiTheme="minorHAnsi" w:hAnsiTheme="minorHAnsi" w:cstheme="minorHAnsi"/>
          </w:rPr>
          <w:t>dcod@postacert.inail.it</w:t>
        </w:r>
      </w:hyperlink>
      <w:r w:rsidRPr="00F11598">
        <w:rPr>
          <w:rFonts w:asciiTheme="minorHAnsi" w:hAnsiTheme="minorHAnsi" w:cstheme="minorHAnsi"/>
        </w:rPr>
        <w:t>, indirizzo postale: Via Santuario Regina degli Apostoli n. 33 – 00145 Roma.</w:t>
      </w:r>
    </w:p>
    <w:p w:rsidR="00063941" w:rsidRPr="00F11598" w:rsidRDefault="00063941" w:rsidP="00063941">
      <w:pPr>
        <w:autoSpaceDE w:val="0"/>
        <w:autoSpaceDN w:val="0"/>
        <w:adjustRightInd w:val="0"/>
        <w:rPr>
          <w:rFonts w:asciiTheme="minorHAnsi" w:hAnsiTheme="minorHAnsi" w:cstheme="minorHAnsi"/>
          <w:b/>
        </w:rPr>
      </w:pP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Descrizione opera/servizio/fornitura servizi di banche dati per la vigilanza ispettiva per INAIL - CIG 890409861D</w:t>
      </w: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 xml:space="preserve">Luogo di esecuzione: ________________________ </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Costo aggiudicazione (€) _______________ Ribasso % ________________ asta</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i/>
        </w:rPr>
      </w:pPr>
      <w:r w:rsidRPr="00F11598">
        <w:rPr>
          <w:rFonts w:asciiTheme="minorHAnsi" w:hAnsiTheme="minorHAnsi" w:cstheme="minorHAnsi"/>
        </w:rPr>
        <w:t>Somma garantita (€) __________________ % del costo del servizio</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Il Contraente ed il Garante, con la sottoscrizione della presente Scheda Tecnica, accettano le condizioni previste nella garanzia fideiussoria alla quale la presente Scheda risulta allegata.</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rPr>
      </w:pPr>
      <w:r w:rsidRPr="00F11598">
        <w:rPr>
          <w:rFonts w:asciiTheme="minorHAnsi" w:hAnsiTheme="minorHAnsi" w:cstheme="minorHAnsi"/>
        </w:rPr>
        <w:t xml:space="preserve">Il Contraente </w:t>
      </w:r>
      <w:r w:rsidRPr="00F11598">
        <w:rPr>
          <w:rFonts w:asciiTheme="minorHAnsi" w:hAnsiTheme="minorHAnsi" w:cstheme="minorHAnsi"/>
        </w:rPr>
        <w:tab/>
      </w:r>
      <w:r w:rsidRPr="00F11598">
        <w:rPr>
          <w:rFonts w:asciiTheme="minorHAnsi" w:hAnsiTheme="minorHAnsi" w:cstheme="minorHAnsi"/>
        </w:rPr>
        <w:tab/>
      </w:r>
      <w:r w:rsidRPr="00F11598">
        <w:rPr>
          <w:rFonts w:asciiTheme="minorHAnsi" w:hAnsiTheme="minorHAnsi" w:cstheme="minorHAnsi"/>
        </w:rPr>
        <w:tab/>
      </w:r>
      <w:r w:rsidRPr="00F11598">
        <w:rPr>
          <w:rFonts w:asciiTheme="minorHAnsi" w:hAnsiTheme="minorHAnsi" w:cstheme="minorHAnsi"/>
        </w:rPr>
        <w:tab/>
      </w:r>
      <w:r w:rsidR="00AF1A47">
        <w:rPr>
          <w:rFonts w:asciiTheme="minorHAnsi" w:hAnsiTheme="minorHAnsi" w:cstheme="minorHAnsi"/>
        </w:rPr>
        <w:tab/>
      </w:r>
      <w:r w:rsidRPr="00F11598">
        <w:rPr>
          <w:rFonts w:asciiTheme="minorHAnsi" w:hAnsiTheme="minorHAnsi" w:cstheme="minorHAnsi"/>
        </w:rPr>
        <w:tab/>
      </w:r>
      <w:r w:rsidRPr="00F11598">
        <w:rPr>
          <w:rFonts w:asciiTheme="minorHAnsi" w:hAnsiTheme="minorHAnsi" w:cstheme="minorHAnsi"/>
        </w:rPr>
        <w:tab/>
        <w:t>Il Garante</w:t>
      </w: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rPr>
      </w:pPr>
    </w:p>
    <w:p w:rsidR="00063941" w:rsidRPr="00F11598" w:rsidRDefault="00063941" w:rsidP="00063941">
      <w:pPr>
        <w:autoSpaceDE w:val="0"/>
        <w:autoSpaceDN w:val="0"/>
        <w:adjustRightInd w:val="0"/>
        <w:rPr>
          <w:rFonts w:asciiTheme="minorHAnsi" w:hAnsiTheme="minorHAnsi" w:cstheme="minorHAnsi"/>
          <w:b/>
          <w:bCs/>
        </w:rPr>
      </w:pPr>
      <w:r w:rsidRPr="00F11598">
        <w:rPr>
          <w:rFonts w:asciiTheme="minorHAnsi" w:hAnsiTheme="minorHAnsi" w:cstheme="minorHAnsi"/>
        </w:rPr>
        <w:t>Emessa in ________ copie ad un solo effetto il ____________________</w:t>
      </w:r>
    </w:p>
    <w:p w:rsidR="00AE62FC" w:rsidRDefault="00AE62FC" w:rsidP="00AE62FC">
      <w:pPr>
        <w:rPr>
          <w:rFonts w:ascii="Calibri" w:hAnsi="Calibri" w:cs="Trebuchet MS"/>
          <w:i/>
          <w:color w:val="0000FF"/>
          <w:lang w:eastAsia="ar-SA"/>
        </w:rPr>
      </w:pPr>
      <w:r>
        <w:rPr>
          <w:rFonts w:ascii="Calibri" w:hAnsi="Calibri" w:cs="Trebuchet MS"/>
          <w:i/>
          <w:color w:val="0000FF"/>
          <w:lang w:eastAsia="ar-SA"/>
        </w:rPr>
        <w:br w:type="page"/>
      </w:r>
    </w:p>
    <w:p w:rsidR="00F11598" w:rsidRPr="00DE6DC3" w:rsidRDefault="00F11598" w:rsidP="00F11598">
      <w:pPr>
        <w:autoSpaceDE w:val="0"/>
        <w:autoSpaceDN w:val="0"/>
        <w:adjustRightInd w:val="0"/>
        <w:jc w:val="center"/>
        <w:rPr>
          <w:rFonts w:asciiTheme="minorHAnsi" w:hAnsiTheme="minorHAnsi" w:cstheme="minorHAnsi"/>
          <w:b/>
          <w:bCs/>
        </w:rPr>
      </w:pPr>
      <w:r w:rsidRPr="00DE6DC3">
        <w:rPr>
          <w:rFonts w:asciiTheme="minorHAnsi" w:hAnsiTheme="minorHAnsi" w:cstheme="minorHAnsi"/>
          <w:b/>
          <w:bCs/>
        </w:rPr>
        <w:lastRenderedPageBreak/>
        <w:t>5. Schema tipo 1.2 (</w:t>
      </w:r>
      <w:proofErr w:type="spellStart"/>
      <w:r w:rsidRPr="00DE6DC3">
        <w:rPr>
          <w:rFonts w:asciiTheme="minorHAnsi" w:hAnsiTheme="minorHAnsi" w:cstheme="minorHAnsi"/>
          <w:b/>
          <w:bCs/>
        </w:rPr>
        <w:t>d.m.</w:t>
      </w:r>
      <w:proofErr w:type="spellEnd"/>
      <w:r w:rsidRPr="00DE6DC3">
        <w:rPr>
          <w:rFonts w:asciiTheme="minorHAnsi" w:hAnsiTheme="minorHAnsi" w:cstheme="minorHAnsi"/>
          <w:b/>
          <w:bCs/>
        </w:rPr>
        <w:t xml:space="preserve"> del Ministero dello Sviluppo economico 19 gennaio 2018, n. 31) </w:t>
      </w:r>
    </w:p>
    <w:p w:rsidR="00F11598" w:rsidRPr="00DE6DC3" w:rsidRDefault="00F11598" w:rsidP="00F11598">
      <w:pPr>
        <w:autoSpaceDE w:val="0"/>
        <w:autoSpaceDN w:val="0"/>
        <w:adjustRightInd w:val="0"/>
        <w:jc w:val="center"/>
        <w:rPr>
          <w:rFonts w:asciiTheme="minorHAnsi" w:hAnsiTheme="minorHAnsi" w:cstheme="minorHAnsi"/>
          <w:b/>
          <w:bCs/>
        </w:rPr>
      </w:pPr>
      <w:r w:rsidRPr="00DE6DC3">
        <w:rPr>
          <w:rFonts w:asciiTheme="minorHAnsi" w:hAnsiTheme="minorHAnsi" w:cstheme="minorHAnsi"/>
          <w:b/>
          <w:bCs/>
        </w:rPr>
        <w:t>Garanzia fideiussoria per la cauzione definitiva</w:t>
      </w:r>
    </w:p>
    <w:p w:rsidR="00F11598" w:rsidRPr="00DE6DC3" w:rsidRDefault="00F11598" w:rsidP="00F11598">
      <w:pPr>
        <w:autoSpaceDE w:val="0"/>
        <w:autoSpaceDN w:val="0"/>
        <w:adjustRightInd w:val="0"/>
        <w:jc w:val="center"/>
        <w:rPr>
          <w:rFonts w:asciiTheme="minorHAnsi" w:hAnsiTheme="minorHAnsi" w:cstheme="minorHAnsi"/>
          <w:b/>
          <w:bCs/>
        </w:rPr>
      </w:pPr>
      <w:r w:rsidRPr="00DE6DC3">
        <w:rPr>
          <w:rFonts w:asciiTheme="minorHAnsi" w:hAnsiTheme="minorHAnsi" w:cstheme="minorHAnsi"/>
          <w:b/>
          <w:bCs/>
        </w:rPr>
        <w:t xml:space="preserve">GARANZIA FIDEIUSSORIA DEFINITIVA </w:t>
      </w:r>
    </w:p>
    <w:p w:rsidR="00F11598" w:rsidRPr="00DE6DC3" w:rsidRDefault="00F11598" w:rsidP="00F11598">
      <w:pPr>
        <w:autoSpaceDE w:val="0"/>
        <w:autoSpaceDN w:val="0"/>
        <w:adjustRightInd w:val="0"/>
        <w:jc w:val="center"/>
        <w:rPr>
          <w:rFonts w:asciiTheme="minorHAnsi" w:hAnsiTheme="minorHAnsi" w:cstheme="minorHAnsi"/>
          <w:b/>
          <w:bCs/>
        </w:rPr>
      </w:pPr>
      <w:r w:rsidRPr="00DE6DC3">
        <w:rPr>
          <w:rFonts w:asciiTheme="minorHAnsi" w:hAnsiTheme="minorHAnsi" w:cstheme="minorHAnsi"/>
          <w:b/>
          <w:bCs/>
        </w:rPr>
        <w:t>(Lavori, Servizi e Forniture)</w:t>
      </w:r>
    </w:p>
    <w:p w:rsidR="00F11598" w:rsidRPr="00DE6DC3" w:rsidRDefault="00F11598" w:rsidP="00F11598">
      <w:pPr>
        <w:autoSpaceDE w:val="0"/>
        <w:autoSpaceDN w:val="0"/>
        <w:adjustRightInd w:val="0"/>
        <w:jc w:val="center"/>
        <w:rPr>
          <w:rFonts w:asciiTheme="minorHAnsi" w:hAnsiTheme="minorHAnsi" w:cstheme="minorHAnsi"/>
          <w:b/>
          <w:bCs/>
          <w:iCs/>
        </w:rPr>
      </w:pPr>
      <w:r w:rsidRPr="00DE6DC3">
        <w:rPr>
          <w:rFonts w:asciiTheme="minorHAnsi" w:hAnsiTheme="minorHAnsi" w:cstheme="minorHAnsi"/>
          <w:b/>
          <w:bCs/>
          <w:iCs/>
        </w:rPr>
        <w:t>Condizioni che rilevano nel rapporto tra Consip Amministrazioni e Garante</w:t>
      </w:r>
    </w:p>
    <w:p w:rsidR="00F11598" w:rsidRPr="00DE6DC3" w:rsidRDefault="00F11598" w:rsidP="00F11598">
      <w:pPr>
        <w:autoSpaceDE w:val="0"/>
        <w:autoSpaceDN w:val="0"/>
        <w:adjustRightInd w:val="0"/>
        <w:rPr>
          <w:rFonts w:asciiTheme="minorHAnsi" w:hAnsiTheme="minorHAnsi" w:cstheme="minorHAnsi"/>
          <w:b/>
          <w:bCs/>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1 - Oggetto della garanzia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Garante, in conformità all'art. 103, commi 1 e 2, del Codice, si impegna nei confronti di Inail, (d’ora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Garante, pertanto, si impegna al pagamento di quanto dovuto dall’Affidatario ai sensi dell’art. 103, del Codice, in caso di:</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a) inadempimento di qualunque obbligazione derivante dal Contratto;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b) risarcimento dei danni derivanti dall’eventuale inadempimento delle obbligazioni stesse;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c) rimborso:</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 delle maggiori somme pagate da Inail all’Affidatario rispetto alle risultanze della liquidazione finale, salva comunque la risarcibilità del maggior danno verso l’Appaltatore;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ii) della eventuale maggiore spesa sostenuta da Inail per il completamento dei lavori dei servizi e delle forniture nel caso di risoluzione del contratto disposta in danno dell’Affidatario;</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L’estensione opera a condizione che la violazione venga comunicata da Inail al Garante nel periodo di validità della garanzia ed è limitata ad un importo pari al 10% della somma garantita al momento della suddetta comunicazione.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F11598" w:rsidRPr="00DE6DC3" w:rsidRDefault="00F11598" w:rsidP="00F11598">
      <w:pPr>
        <w:autoSpaceDE w:val="0"/>
        <w:autoSpaceDN w:val="0"/>
        <w:adjustRightInd w:val="0"/>
        <w:rPr>
          <w:rFonts w:asciiTheme="minorHAnsi" w:hAnsiTheme="minorHAnsi" w:cstheme="minorHAnsi"/>
          <w:b/>
          <w:bCs/>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2 - Efficacia e durata della garanzia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L'efficacia della garanzia: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a) decorre dalla data di stipula del contratto;</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w:t>
      </w:r>
      <w:r w:rsidRPr="00DE6DC3">
        <w:rPr>
          <w:rFonts w:asciiTheme="minorHAnsi" w:hAnsiTheme="minorHAnsi" w:cstheme="minorHAnsi"/>
        </w:rPr>
        <w:lastRenderedPageBreak/>
        <w:t>garanzia rispetto alle scadenze di cui alla lettera b) del comma precedente può aver luogo solo con la restituzione al Garante, da parte di Inail dell’originale della garanzia stessa con annotazione di svincolo o con comunicazione scritta da Inail al Garante.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mancato pagamento del premio/commissione non può essere opposto a Inail.</w:t>
      </w:r>
    </w:p>
    <w:p w:rsidR="00F11598" w:rsidRPr="00DE6DC3" w:rsidRDefault="00F11598" w:rsidP="00F11598">
      <w:pPr>
        <w:autoSpaceDE w:val="0"/>
        <w:autoSpaceDN w:val="0"/>
        <w:adjustRightInd w:val="0"/>
        <w:rPr>
          <w:rFonts w:asciiTheme="minorHAnsi" w:hAnsiTheme="minorHAnsi" w:cstheme="minorHAnsi"/>
          <w:b/>
          <w:bCs/>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3 - Somma garantita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La somma garantita dalla presente fideiussione è calcolata in conformità a quanto disposto dall'art. 103, comma 1, del Codice, ed è pari al: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a) 10 % dell’importo massimo del Contratto, nel caso di aggiudicazione con ribassi d’asta minori o uguali al 10%;</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La garanzia è progressivamente svincolata in via automatica a misura dell'avanzamento dell'esecuzione, in conformità a quanto disposto dall’art. 103, comma 5, del Codice. </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4 - Escussione della garanzia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Garante corrisponderà l’importo dovuto dal Contraente, nei limiti della somma garantita alla data dell'escussione, entro il termine di 15 giorni dal ricevimento della semplice richiesta scritta da Inail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Garante non gode del beneficio della preventiva escussione del debitore principale di cui all’art. 1944 cod. civ. e rinuncia all'eccezione di cui all'art. 1957, comma 2, cod. civ.</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Resta salva l'azione di ripetizione verso Inail per il caso in cui le somme pagate dal Garante risultassero parzialmente o totalmente non dovute dal Contraente o dal Garante (art. 104, comma 10, del Codice).</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 xml:space="preserve">Art. 5 - Surrogazione </w:t>
      </w:r>
      <w:r w:rsidRPr="00DE6DC3">
        <w:rPr>
          <w:rFonts w:asciiTheme="minorHAnsi" w:hAnsiTheme="minorHAnsi" w:cstheme="minorHAnsi"/>
        </w:rPr>
        <w:t xml:space="preserve">- </w:t>
      </w:r>
      <w:r w:rsidRPr="00DE6DC3">
        <w:rPr>
          <w:rFonts w:asciiTheme="minorHAnsi" w:hAnsiTheme="minorHAnsi" w:cstheme="minorHAnsi"/>
          <w:b/>
          <w:bCs/>
        </w:rPr>
        <w:t>Rivalsa</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Il Garante, nei limiti delle somme pagate, è surrogato a Inail in tutti i diritti, ragioni ed azioni verso il Contraente, i suoi successori ed aventi causa a qualsiasi titolo. Il Garante ha altresì diritto di rivalsa verso il Contraente per le somme pagate in forza della presente garanzia (art. 104, comma 10, del Codice). Inail faciliterà le azioni di recupero fornendo al Garante tutti gli elementi utili in loro possesso.</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6 - Forma delle comunicazioni</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Tutte le comunicazioni e notifiche al Garante, dipendenti dalla presente garanzia, per essere valide, devono essere fatte esclusivamente con lettera raccomandata o tramite PEC inviate agli indirizzi indicati nella Scheda Tecnica. </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 xml:space="preserve">Art. 7 - Foro competente </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In caso di controversia fra il Garante e Inail, il foro competente è quello di Roma.</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b/>
          <w:bCs/>
        </w:rPr>
      </w:pPr>
      <w:r w:rsidRPr="00DE6DC3">
        <w:rPr>
          <w:rFonts w:asciiTheme="minorHAnsi" w:hAnsiTheme="minorHAnsi" w:cstheme="minorHAnsi"/>
          <w:b/>
          <w:bCs/>
        </w:rPr>
        <w:t>Art. 8 - Rinvio alle norme di legge</w:t>
      </w: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Per tutto quanto non diversamente regolato, valgono le norme di legge. </w:t>
      </w:r>
    </w:p>
    <w:p w:rsidR="00F11598" w:rsidRPr="00DE6DC3" w:rsidRDefault="00F11598" w:rsidP="00F11598">
      <w:pPr>
        <w:autoSpaceDE w:val="0"/>
        <w:autoSpaceDN w:val="0"/>
        <w:adjustRightInd w:val="0"/>
        <w:rPr>
          <w:rFonts w:asciiTheme="minorHAnsi" w:hAnsiTheme="minorHAnsi" w:cstheme="minorHAnsi"/>
        </w:rPr>
      </w:pPr>
    </w:p>
    <w:p w:rsidR="00F11598" w:rsidRPr="00DE6DC3" w:rsidRDefault="00F11598" w:rsidP="00F11598">
      <w:pPr>
        <w:autoSpaceDE w:val="0"/>
        <w:autoSpaceDN w:val="0"/>
        <w:adjustRightInd w:val="0"/>
        <w:rPr>
          <w:rFonts w:asciiTheme="minorHAnsi" w:hAnsiTheme="minorHAnsi" w:cstheme="minorHAnsi"/>
        </w:rPr>
      </w:pPr>
      <w:r w:rsidRPr="00DE6DC3">
        <w:rPr>
          <w:rFonts w:asciiTheme="minorHAnsi" w:hAnsiTheme="minorHAnsi" w:cstheme="minorHAnsi"/>
        </w:rPr>
        <w:t xml:space="preserve">Il Contraente </w:t>
      </w:r>
      <w:r w:rsidRPr="00DE6DC3">
        <w:rPr>
          <w:rFonts w:asciiTheme="minorHAnsi" w:hAnsiTheme="minorHAnsi" w:cstheme="minorHAnsi"/>
        </w:rPr>
        <w:tab/>
      </w:r>
      <w:r w:rsidRPr="00DE6DC3">
        <w:rPr>
          <w:rFonts w:asciiTheme="minorHAnsi" w:hAnsiTheme="minorHAnsi" w:cstheme="minorHAnsi"/>
        </w:rPr>
        <w:tab/>
      </w:r>
      <w:r w:rsidRPr="00DE6DC3">
        <w:rPr>
          <w:rFonts w:asciiTheme="minorHAnsi" w:hAnsiTheme="minorHAnsi" w:cstheme="minorHAnsi"/>
        </w:rPr>
        <w:tab/>
      </w:r>
      <w:r w:rsidRPr="00DE6DC3">
        <w:rPr>
          <w:rFonts w:asciiTheme="minorHAnsi" w:hAnsiTheme="minorHAnsi" w:cstheme="minorHAnsi"/>
        </w:rPr>
        <w:tab/>
      </w:r>
      <w:r w:rsidRPr="00DE6DC3">
        <w:rPr>
          <w:rFonts w:asciiTheme="minorHAnsi" w:hAnsiTheme="minorHAnsi" w:cstheme="minorHAnsi"/>
        </w:rPr>
        <w:tab/>
      </w:r>
      <w:r w:rsidRPr="00DE6DC3">
        <w:rPr>
          <w:rFonts w:asciiTheme="minorHAnsi" w:hAnsiTheme="minorHAnsi" w:cstheme="minorHAnsi"/>
        </w:rPr>
        <w:tab/>
      </w:r>
      <w:r w:rsidRPr="00DE6DC3">
        <w:rPr>
          <w:rFonts w:asciiTheme="minorHAnsi" w:hAnsiTheme="minorHAnsi" w:cstheme="minorHAnsi"/>
        </w:rPr>
        <w:tab/>
        <w:t>Il Garante</w:t>
      </w:r>
    </w:p>
    <w:p w:rsidR="00F11598" w:rsidRPr="00DE6DC3" w:rsidRDefault="00F11598" w:rsidP="00F11598">
      <w:pPr>
        <w:rPr>
          <w:rFonts w:asciiTheme="minorHAnsi" w:hAnsiTheme="minorHAnsi" w:cstheme="minorHAnsi"/>
        </w:rPr>
      </w:pPr>
    </w:p>
    <w:p w:rsidR="001105D3" w:rsidRPr="00DE6DC3" w:rsidRDefault="001105D3" w:rsidP="00AE62FC">
      <w:pPr>
        <w:rPr>
          <w:rFonts w:asciiTheme="minorHAnsi" w:hAnsiTheme="minorHAnsi" w:cstheme="minorHAnsi"/>
        </w:rPr>
      </w:pPr>
    </w:p>
    <w:p w:rsidR="00AE62FC" w:rsidRPr="00DE6DC3" w:rsidRDefault="00AE62FC" w:rsidP="00AE62FC">
      <w:pPr>
        <w:rPr>
          <w:rFonts w:asciiTheme="minorHAnsi" w:hAnsiTheme="minorHAnsi" w:cstheme="minorHAnsi"/>
        </w:rPr>
      </w:pPr>
    </w:p>
    <w:p w:rsidR="00AE62FC" w:rsidRPr="00DE6DC3" w:rsidRDefault="00AE62FC" w:rsidP="00AE62FC">
      <w:pPr>
        <w:rPr>
          <w:rFonts w:asciiTheme="minorHAnsi" w:hAnsiTheme="minorHAnsi" w:cstheme="minorHAnsi"/>
        </w:rPr>
      </w:pPr>
    </w:p>
    <w:sectPr w:rsidR="00AE62FC" w:rsidRPr="00DE6DC3" w:rsidSect="00084133">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292" w:rsidRDefault="004F2292" w:rsidP="00265CD8">
      <w:pPr>
        <w:spacing w:line="240" w:lineRule="auto"/>
      </w:pPr>
      <w:r>
        <w:separator/>
      </w:r>
    </w:p>
  </w:endnote>
  <w:endnote w:type="continuationSeparator" w:id="0">
    <w:p w:rsidR="004F2292" w:rsidRDefault="004F229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133" w:rsidRDefault="000841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FC" w:rsidRPr="00084133" w:rsidRDefault="00265CD8" w:rsidP="00AE62FC">
    <w:pPr>
      <w:pStyle w:val="Pidipagina"/>
      <w:rPr>
        <w:rFonts w:ascii="Trebuchet MS" w:eastAsiaTheme="minorHAnsi" w:hAnsi="Trebuchet MS" w:cstheme="minorHAnsi"/>
        <w:i/>
        <w:color w:val="0000FF"/>
        <w:sz w:val="20"/>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8413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84133">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8413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84133">
                      <w:rPr>
                        <w:rStyle w:val="Numeropagina"/>
                        <w:noProof/>
                      </w:rPr>
                      <w:t>5</w:t>
                    </w:r>
                    <w:r w:rsidRPr="000D2520">
                      <w:rPr>
                        <w:rStyle w:val="Numeropagina"/>
                      </w:rPr>
                      <w:fldChar w:fldCharType="end"/>
                    </w:r>
                  </w:p>
                </w:txbxContent>
              </v:textbox>
            </v:shape>
          </w:pict>
        </mc:Fallback>
      </mc:AlternateContent>
    </w:r>
    <w:r w:rsidR="00AE62FC" w:rsidRPr="00A6077C">
      <w:rPr>
        <w:rFonts w:cstheme="minorHAnsi"/>
        <w:noProof/>
        <w:szCs w:val="16"/>
      </w:rPr>
      <mc:AlternateContent>
        <mc:Choice Requires="wps">
          <w:drawing>
            <wp:anchor distT="0" distB="0" distL="114300" distR="114300" simplePos="0" relativeHeight="251663360" behindDoc="0" locked="0" layoutInCell="1" allowOverlap="1" wp14:anchorId="21A11CCF" wp14:editId="3CDB020C">
              <wp:simplePos x="0" y="0"/>
              <wp:positionH relativeFrom="column">
                <wp:posOffset>24969</wp:posOffset>
              </wp:positionH>
              <wp:positionV relativeFrom="paragraph">
                <wp:posOffset>-608</wp:posOffset>
              </wp:positionV>
              <wp:extent cx="5774900" cy="0"/>
              <wp:effectExtent l="0" t="0" r="35560" b="19050"/>
              <wp:wrapNone/>
              <wp:docPr id="3" name="Connettore diritto 3"/>
              <wp:cNvGraphicFramePr/>
              <a:graphic xmlns:a="http://schemas.openxmlformats.org/drawingml/2006/main">
                <a:graphicData uri="http://schemas.microsoft.com/office/word/2010/wordprocessingShape">
                  <wps:wsp>
                    <wps:cNvCnPr/>
                    <wps:spPr>
                      <a:xfrm>
                        <a:off x="0" y="0"/>
                        <a:ext cx="57749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8A68A1" id="Connettore diritto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5pt,-.05pt" to="456.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" strokecolor="black [3213]" strokeweight=".25pt"/>
          </w:pict>
        </mc:Fallback>
      </mc:AlternateContent>
    </w:r>
    <w:r w:rsidR="00084133">
      <w:rPr>
        <w:rFonts w:cstheme="minorHAnsi"/>
        <w:szCs w:val="16"/>
      </w:rPr>
      <w:t>Moduli di dichiarazione - Gara</w:t>
    </w:r>
    <w:r w:rsidR="00AE62FC" w:rsidRPr="00C007E3">
      <w:rPr>
        <w:rFonts w:cstheme="minorHAnsi"/>
        <w:szCs w:val="16"/>
      </w:rPr>
      <w:t xml:space="preserve"> a procedura aperta ai sensi del </w:t>
    </w:r>
    <w:proofErr w:type="spellStart"/>
    <w:proofErr w:type="gramStart"/>
    <w:r w:rsidR="00AE62FC" w:rsidRPr="00C007E3">
      <w:rPr>
        <w:rFonts w:cstheme="minorHAnsi"/>
        <w:szCs w:val="16"/>
      </w:rPr>
      <w:t>D.Lgs</w:t>
    </w:r>
    <w:proofErr w:type="gramEnd"/>
    <w:r w:rsidR="00AE62FC" w:rsidRPr="00C007E3">
      <w:rPr>
        <w:rFonts w:cstheme="minorHAnsi"/>
        <w:szCs w:val="16"/>
      </w:rPr>
      <w:t>.</w:t>
    </w:r>
    <w:proofErr w:type="spellEnd"/>
    <w:r w:rsidR="00AE62FC" w:rsidRPr="00C007E3">
      <w:rPr>
        <w:rFonts w:cstheme="minorHAnsi"/>
        <w:szCs w:val="16"/>
      </w:rPr>
      <w:t xml:space="preserve"> 50/2016 e </w:t>
    </w:r>
    <w:proofErr w:type="spellStart"/>
    <w:r w:rsidR="00AE62FC" w:rsidRPr="00C007E3">
      <w:rPr>
        <w:rFonts w:cstheme="minorHAnsi"/>
        <w:szCs w:val="16"/>
      </w:rPr>
      <w:t>s.m.i.</w:t>
    </w:r>
    <w:proofErr w:type="spellEnd"/>
    <w:r w:rsidR="00AE62FC" w:rsidRPr="00C007E3">
      <w:rPr>
        <w:rFonts w:cstheme="minorHAnsi"/>
        <w:szCs w:val="16"/>
      </w:rPr>
      <w:t>, per</w:t>
    </w:r>
    <w:r w:rsidR="00AE62FC">
      <w:rPr>
        <w:rFonts w:cstheme="minorHAnsi"/>
        <w:szCs w:val="16"/>
      </w:rPr>
      <w:t xml:space="preserve"> </w:t>
    </w:r>
    <w:r w:rsidR="007E1677">
      <w:rPr>
        <w:rFonts w:cstheme="minorHAnsi"/>
        <w:szCs w:val="16"/>
      </w:rPr>
      <w:t xml:space="preserve">l’erogazione </w:t>
    </w:r>
    <w:r w:rsidR="00AE62FC" w:rsidRPr="000F3E55">
      <w:rPr>
        <w:rFonts w:cstheme="minorHAnsi"/>
        <w:szCs w:val="16"/>
      </w:rPr>
      <w:t>di servizi di banche dati per la vigilanza ispettiva per Inail – ID 2394</w:t>
    </w:r>
    <w:r w:rsidR="00AE62FC" w:rsidRPr="00C007E3">
      <w:rPr>
        <w:rStyle w:val="CorsivobluCarattere"/>
        <w:rFonts w:eastAsiaTheme="minorHAnsi" w:cstheme="minorHAnsi"/>
        <w:szCs w:val="16"/>
      </w:rPr>
      <w:t xml:space="preserve"> </w:t>
    </w:r>
    <w:bookmarkStart w:id="1" w:name="_GoBack"/>
    <w:bookmarkEnd w:id="1"/>
  </w:p>
  <w:p w:rsidR="00366EDD" w:rsidRPr="00C6051F" w:rsidRDefault="00084133"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133" w:rsidRDefault="000841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292" w:rsidRDefault="004F2292" w:rsidP="00265CD8">
      <w:pPr>
        <w:spacing w:line="240" w:lineRule="auto"/>
      </w:pPr>
      <w:r>
        <w:separator/>
      </w:r>
    </w:p>
  </w:footnote>
  <w:footnote w:type="continuationSeparator" w:id="0">
    <w:p w:rsidR="004F2292" w:rsidRDefault="004F229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133" w:rsidRDefault="000841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84133" w:rsidP="00C01A6B"/>
  <w:p w:rsidR="00467E74" w:rsidRDefault="00084133">
    <w:pPr>
      <w:pStyle w:val="TAGTECNICI"/>
    </w:pPr>
    <w:sdt>
      <w:sdtPr>
        <w:alias w:val="NomeTemplate"/>
        <w:tag w:val="Version_2_0"/>
        <w:id w:val="33320490"/>
        <w:lock w:val="sdtContentLocked"/>
      </w:sdtPr>
      <w:sdtEndPr/>
      <w:sdtContent>
        <w:r w:rsidR="003542CF">
          <w:t>ALL21TTT</w:t>
        </w:r>
      </w:sdtContent>
    </w:sdt>
  </w:p>
  <w:p w:rsidR="00467E74" w:rsidRDefault="00467E7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-1283335</wp:posOffset>
          </wp:positionH>
          <wp:positionV relativeFrom="paragraph">
            <wp:posOffset>-448945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4273"/>
    <w:rsid w:val="00063941"/>
    <w:rsid w:val="00084133"/>
    <w:rsid w:val="000D66E2"/>
    <w:rsid w:val="001105D3"/>
    <w:rsid w:val="00265CD8"/>
    <w:rsid w:val="003542CF"/>
    <w:rsid w:val="00467E74"/>
    <w:rsid w:val="004F2292"/>
    <w:rsid w:val="00523DAE"/>
    <w:rsid w:val="005B5D9C"/>
    <w:rsid w:val="007E1677"/>
    <w:rsid w:val="0094331C"/>
    <w:rsid w:val="00AE62FC"/>
    <w:rsid w:val="00AF1A47"/>
    <w:rsid w:val="00B311C1"/>
    <w:rsid w:val="00DA785D"/>
    <w:rsid w:val="00DE6DC3"/>
    <w:rsid w:val="00EB0687"/>
    <w:rsid w:val="00F11598"/>
    <w:rsid w:val="00F626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F14137"/>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AE62FC"/>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cod@postacert.inail.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1290</Words>
  <Characters>7358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6</cp:revision>
  <cp:lastPrinted>2021-09-28T19:19:00Z</cp:lastPrinted>
  <dcterms:created xsi:type="dcterms:W3CDTF">2021-09-28T04:18:00Z</dcterms:created>
  <dcterms:modified xsi:type="dcterms:W3CDTF">2021-09-29T08:00:00Z</dcterms:modified>
</cp:coreProperties>
</file>

<file path=docProps/custom.xml><?xml version="1.0" encoding="utf-8"?>
<Properties xmlns="http://schemas.openxmlformats.org/officeDocument/2006/custom-properties" xmlns:vt="http://schemas.openxmlformats.org/officeDocument/2006/docPropsVTypes">
  <property fmtid="{CE16250D-ECCB-456A-B534-216D3ABF203B}" pid="2" name="NomeTemplate">
    <vt:lpwstr>ALL21TTT</vt:lpwstr>
  </property>
  <property fmtid="{64C5B54C-6AC8-4936-8115-2DBA600A9A40}" pid="3" name="MajorVersion">
    <vt:lpwstr>2</vt:lpwstr>
  </property>
  <property fmtid="{86BF3353-5825-4DE8-8B79-64040E56D408}" pid="4" name="MinorVersion">
    <vt:lpwstr>0</vt:lpwstr>
  </property>
</Properties>
</file>