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69E" w:rsidRPr="009246BE" w:rsidRDefault="006A469E" w:rsidP="006A469E">
      <w:pPr>
        <w:rPr>
          <w:rFonts w:ascii="Calibri" w:hAnsi="Calibri"/>
        </w:rPr>
      </w:pPr>
    </w:p>
    <w:p w:rsidR="006A469E" w:rsidRPr="0094712D" w:rsidRDefault="006A469E" w:rsidP="006A469E">
      <w:pPr>
        <w:pStyle w:val="Titolo1"/>
        <w:rPr>
          <w:rFonts w:ascii="Calibri" w:hAnsi="Calibri"/>
        </w:rPr>
      </w:pPr>
      <w:r w:rsidRPr="0094712D">
        <w:rPr>
          <w:rFonts w:ascii="Calibri" w:hAnsi="Calibri"/>
        </w:rPr>
        <w:t>MOD.</w:t>
      </w:r>
      <w:r>
        <w:rPr>
          <w:rFonts w:ascii="Calibri" w:hAnsi="Calibri"/>
        </w:rPr>
        <w:t xml:space="preserve"> 1 </w:t>
      </w:r>
    </w:p>
    <w:p w:rsidR="006A469E" w:rsidRPr="0094712D" w:rsidRDefault="006A469E" w:rsidP="006A469E">
      <w:pPr>
        <w:pStyle w:val="Titolo1"/>
        <w:rPr>
          <w:rFonts w:ascii="Calibri" w:hAnsi="Calibri"/>
        </w:rPr>
      </w:pPr>
    </w:p>
    <w:p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cs="Trebuchet MS"/>
        </w:rPr>
      </w:pPr>
      <w:r w:rsidRPr="0094712D">
        <w:rPr>
          <w:rFonts w:ascii="Calibri" w:hAnsi="Calibri" w:cs="Trebuchet MS"/>
        </w:rPr>
        <w:t>00198 Roma</w:t>
      </w:r>
    </w:p>
    <w:p w:rsidR="006A469E" w:rsidRPr="0094712D" w:rsidRDefault="006A469E" w:rsidP="006A469E">
      <w:pPr>
        <w:pStyle w:val="Indirizzo"/>
        <w:rPr>
          <w:rFonts w:ascii="Calibri" w:hAnsi="Calibri" w:cs="Trebuchet MS"/>
        </w:rPr>
      </w:pP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 xml:space="preserve">……………. </w:t>
      </w:r>
    </w:p>
    <w:p w:rsidR="006A469E" w:rsidRPr="0094712D" w:rsidRDefault="006A469E" w:rsidP="006A469E">
      <w:pPr>
        <w:rPr>
          <w:rFonts w:ascii="Calibri" w:hAnsi="Calibri"/>
        </w:rPr>
      </w:pPr>
      <w:r w:rsidRPr="0094712D">
        <w:rPr>
          <w:rFonts w:ascii="Calibri" w:hAnsi="Calibri"/>
        </w:rPr>
        <w:t>Premesso che:</w:t>
      </w:r>
    </w:p>
    <w:p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w:t>
      </w:r>
      <w:r w:rsidRPr="00BC2DA6">
        <w:rPr>
          <w:rFonts w:ascii="Calibri" w:hAnsi="Calibri"/>
        </w:rPr>
        <w:t xml:space="preserve">” e/o “Impresa”) </w:t>
      </w:r>
      <w:r w:rsidR="00FB5020" w:rsidRPr="00BC2DA6">
        <w:rPr>
          <w:rFonts w:ascii="Calibri" w:hAnsi="Calibri"/>
        </w:rPr>
        <w:t xml:space="preserve">risultata _____ in graduatoria, </w:t>
      </w:r>
      <w:r w:rsidRPr="00BC2DA6">
        <w:rPr>
          <w:rFonts w:ascii="Calibri" w:hAnsi="Calibri"/>
        </w:rPr>
        <w:t>la gara a procedura aperta per l’affidamento</w:t>
      </w:r>
      <w:r w:rsidRPr="0094712D">
        <w:rPr>
          <w:rFonts w:ascii="Calibri" w:hAnsi="Calibri"/>
        </w:rPr>
        <w:t xml:space="preserve"> di un Accordo Quadro, ai sensi dell’art. 54, del D. Lgs. 50/2016, per la fornitura di </w:t>
      </w:r>
      <w:r w:rsidR="00FB5020" w:rsidRPr="00FB5020">
        <w:rPr>
          <w:rFonts w:ascii="Calibri" w:hAnsi="Calibri"/>
        </w:rPr>
        <w:t xml:space="preserve">servizi di sicurezza da remoto, di compliance e controllo </w:t>
      </w:r>
      <w:r w:rsidRPr="0094712D">
        <w:rPr>
          <w:rFonts w:ascii="Calibri" w:hAnsi="Calibri"/>
        </w:rPr>
        <w:t xml:space="preserve">per le Pubbliche Amministrazioni Lotto ____ avente ad oggetto ____ , con il quale il Fornitore si impegna a stipulare </w:t>
      </w:r>
      <w:r w:rsidR="00FB5020">
        <w:rPr>
          <w:rFonts w:ascii="Calibri" w:hAnsi="Calibri"/>
        </w:rPr>
        <w:t>Contratti esecutivi</w:t>
      </w:r>
      <w:r w:rsidRPr="0094712D">
        <w:rPr>
          <w:rFonts w:ascii="Calibri" w:hAnsi="Calibri"/>
        </w:rPr>
        <w:t xml:space="preserve"> affidati dalle Pubbliche Amministrazioni nonché dagli altri soggetti legittimati ai sensi della normativa vigente ad utilizzare l’Accordo Quadro (di seguito anche solo “Amministrazioni”), sino a concorrenza del</w:t>
      </w:r>
      <w:r w:rsidR="00FB5020">
        <w:rPr>
          <w:rFonts w:ascii="Calibri" w:hAnsi="Calibri"/>
        </w:rPr>
        <w:t>l’</w:t>
      </w:r>
      <w:r w:rsidRPr="0094712D">
        <w:rPr>
          <w:rFonts w:ascii="Calibri" w:hAnsi="Calibri"/>
        </w:rPr>
        <w:t>importo massimo stabilito nell’Accordo Quadro, ai prezzi e alle condizioni nello stesso indicate</w:t>
      </w:r>
      <w:r w:rsidRPr="0094712D">
        <w:rPr>
          <w:rFonts w:ascii="Calibri" w:hAnsi="Calibri"/>
          <w:i/>
          <w:color w:val="4F81BD"/>
        </w:rPr>
        <w:t>;</w:t>
      </w:r>
    </w:p>
    <w:p w:rsidR="006A469E" w:rsidRPr="0094712D" w:rsidRDefault="006A469E" w:rsidP="006A469E">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con efficacia sino alla completa ed esatta esecuzione delle obbligazioni nascenti dai Contratti di fornitura</w:t>
      </w:r>
      <w:r w:rsidRPr="0094712D">
        <w:rPr>
          <w:rFonts w:ascii="Calibri" w:hAnsi="Calibri"/>
        </w:rPr>
        <w:t>;</w:t>
      </w:r>
    </w:p>
    <w:p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rsidR="006A469E"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w:t>
      </w:r>
      <w:r w:rsidRPr="0094712D">
        <w:rPr>
          <w:rFonts w:ascii="Calibri" w:hAnsi="Calibri"/>
        </w:rPr>
        <w:lastRenderedPageBreak/>
        <w:t xml:space="preserve">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 il risarcimento dei danni derivanti dall'eventuale inadempimento degli obblighi stessi</w:t>
      </w:r>
      <w:r>
        <w:rPr>
          <w:rFonts w:ascii="Calibri" w:hAnsi="Calibri"/>
        </w:rPr>
        <w:t xml:space="preserve"> </w:t>
      </w:r>
      <w:r w:rsidRPr="0025363B">
        <w:rPr>
          <w:rFonts w:ascii="Calibri" w:hAnsi="Calibri"/>
        </w:rPr>
        <w:t xml:space="preserve">e quelli assunti dal Fornitore nella fase preliminare alla stipula dei contratti attuativi di cui </w:t>
      </w:r>
      <w:r w:rsidR="00BC2DA6">
        <w:rPr>
          <w:rFonts w:asciiTheme="minorHAnsi" w:hAnsiTheme="minorHAnsi"/>
        </w:rPr>
        <w:t xml:space="preserve">al paragrafo 6.4 per il Lotto 1 e al paragrafo 6.5 per il Lotto 2 </w:t>
      </w:r>
      <w:r w:rsidR="00BC2DA6" w:rsidRPr="0025363B">
        <w:rPr>
          <w:rFonts w:ascii="Calibri" w:hAnsi="Calibri"/>
        </w:rPr>
        <w:t>del Capitolato Tecnico</w:t>
      </w:r>
      <w:r w:rsidR="00BC2DA6">
        <w:rPr>
          <w:rFonts w:ascii="Calibri" w:hAnsi="Calibri"/>
        </w:rPr>
        <w:t xml:space="preserve"> Generale</w:t>
      </w:r>
      <w:r w:rsidRPr="0025363B">
        <w:rPr>
          <w:rFonts w:ascii="Calibri" w:hAnsi="Calibri"/>
        </w:rPr>
        <w:t>, nonché</w:t>
      </w:r>
      <w:r w:rsidRPr="0094712D">
        <w:rPr>
          <w:rFonts w:ascii="Calibri" w:hAnsi="Calibri"/>
        </w:rPr>
        <w:t xml:space="preserve"> il pagamento alla Consip S.p.A. delle somme dovute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pec, formulata con l’indicazione dell’inadempienza riscontrata.</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S.p.A..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lastRenderedPageBreak/>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4712D" w:rsidRDefault="006A469E" w:rsidP="006A469E">
      <w:pPr>
        <w:pStyle w:val="Indirizzo"/>
        <w:rPr>
          <w:rFonts w:ascii="Calibri" w:hAnsi="Calibri"/>
        </w:rPr>
        <w:sectPr w:rsidR="006A469E" w:rsidRPr="0094712D" w:rsidSect="00BC3702">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94712D">
        <w:rPr>
          <w:rFonts w:ascii="Calibri" w:hAnsi="Calibri"/>
        </w:rPr>
        <w:t>(</w:t>
      </w:r>
      <w:r w:rsidRPr="0094712D">
        <w:rPr>
          <w:rStyle w:val="StileIndirizzoGrassettoCorsivoCarattere"/>
          <w:rFonts w:ascii="Calibri" w:hAnsi="Calibri"/>
        </w:rPr>
        <w:t>ovvero:</w:t>
      </w:r>
      <w:r w:rsidRPr="0094712D">
        <w:rPr>
          <w:rFonts w:ascii="Calibri" w:hAnsi="Calibri" w:cs="Trebuchet MS"/>
        </w:rPr>
        <w:t>L’Assicuratore</w:t>
      </w:r>
      <w:r w:rsidRPr="0094712D">
        <w:rPr>
          <w:rFonts w:ascii="Calibri" w:hAnsi="Calibri"/>
        </w:rPr>
        <w:t>)</w:t>
      </w:r>
    </w:p>
    <w:p w:rsidR="006A469E" w:rsidRDefault="006A469E" w:rsidP="006A469E">
      <w:pPr>
        <w:widowControl/>
        <w:autoSpaceDE w:val="0"/>
        <w:autoSpaceDN w:val="0"/>
        <w:adjustRightInd w:val="0"/>
        <w:rPr>
          <w:rFonts w:ascii="Calibri" w:hAnsi="Calibri" w:cs="TrebuchetMS,Bold"/>
          <w:b/>
          <w:bCs/>
        </w:rPr>
      </w:pPr>
      <w:r w:rsidRPr="008F6F71">
        <w:rPr>
          <w:rFonts w:ascii="Calibri" w:hAnsi="Calibri" w:cs="TrebuchetMS,Bold"/>
          <w:b/>
          <w:bCs/>
        </w:rPr>
        <w:lastRenderedPageBreak/>
        <w:t xml:space="preserve">MOD. </w:t>
      </w:r>
      <w:r w:rsidR="00FB5020">
        <w:rPr>
          <w:rFonts w:ascii="Calibri" w:hAnsi="Calibri" w:cs="TrebuchetMS,Bold"/>
          <w:b/>
          <w:bCs/>
        </w:rPr>
        <w:t>2</w:t>
      </w:r>
      <w:r w:rsidRPr="008F6F71">
        <w:rPr>
          <w:rFonts w:ascii="Calibri" w:hAnsi="Calibri" w:cs="TrebuchetMS,Bold"/>
          <w:b/>
          <w:bCs/>
        </w:rPr>
        <w:t xml:space="preserve"> - FACSIMILE GARANZIA DEFINITIVA IN FAVORE DELLE AMMINISTRAZIONI CONTRAENTI </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La presente Scheda Tecnica costituisce parte integrante della garanzia fideiussoria conforme allo Schema Tipo 1.2 di cui al d.m. del Ministero dello Sviluppo economico 19 gennaio 2018, n. 31</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_______________ Città  __________ Via ________ CAP Prov. __________ C.F./P.IVA ___________ PEC _____</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Città _____________ Via ___________ CAP  __________ Prov. ________ C.F./P.IVA __________ PEC _____________</w:t>
      </w:r>
    </w:p>
    <w:p w:rsidR="006A469E" w:rsidRPr="008F6F71" w:rsidRDefault="006A469E" w:rsidP="006A469E">
      <w:pPr>
        <w:autoSpaceDE w:val="0"/>
        <w:autoSpaceDN w:val="0"/>
        <w:adjustRightInd w:val="0"/>
        <w:rPr>
          <w:rFonts w:ascii="Calibri" w:hAnsi="Calibri" w:cs="TimesNewRoman"/>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Prov. Roma C.F./P.IVA 05359681003 PEC </w:t>
      </w:r>
    </w:p>
    <w:p w:rsidR="006A469E" w:rsidRPr="008F6F71"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 xml:space="preserve">5. Schema tipo 1.2 (d.m. del Ministero dello Sviluppo economico 19 gennaio 2018, n. 31)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Amministrazioni e Garante</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a questi subiti in conseguenza del mancato o inesatto adempimento da parte del Contraente delle obbligazioni previste ne</w:t>
      </w:r>
      <w:r w:rsidRPr="00CF63DC">
        <w:rPr>
          <w:rFonts w:ascii="Calibri" w:hAnsi="Calibri"/>
          <w:iCs/>
          <w:u w:val="single"/>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Amministrazioni per il completamento dei lavori dei servizi e delle forniture nel caso di risoluzione de</w:t>
      </w:r>
      <w:r w:rsidRPr="00CF63DC">
        <w:rPr>
          <w:rFonts w:ascii="Calibri" w:hAnsi="Calibri"/>
          <w:iCs/>
          <w:u w:val="single"/>
          <w:lang w:eastAsia="ar-SA"/>
        </w:rPr>
        <w:t xml:space="preserve">l contratto di fornitura derivante da Appalto specifico, </w:t>
      </w:r>
      <w:r w:rsidRPr="00CF63DC">
        <w:rPr>
          <w:rFonts w:ascii="Calibri" w:hAnsi="Calibri" w:cs="TimesNewRoman"/>
        </w:rPr>
        <w:t>disposto in danno dell’Affidatario;</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F63DC">
        <w:rPr>
          <w:rFonts w:ascii="Calibri" w:hAnsi="Calibri"/>
          <w:iCs/>
          <w:u w:val="single"/>
          <w:lang w:eastAsia="ar-SA"/>
        </w:rPr>
        <w:t>i contratti di fornitura derivanti da Appalto specifico,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a) decorre dalla data di stipula dell’Accordo Quadro;</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lastRenderedPageBreak/>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rsidR="006A469E" w:rsidRPr="0078051A"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___ % </w:t>
      </w:r>
      <w:r w:rsidRPr="00CF63DC">
        <w:rPr>
          <w:rFonts w:ascii="Calibri" w:hAnsi="Calibri"/>
        </w:rPr>
        <w:t xml:space="preserve">dell’importo massimo  &lt;oppure del prezzo di aggiudicazione&gt; </w:t>
      </w:r>
      <w:r w:rsidRPr="0078051A">
        <w:rPr>
          <w:rFonts w:ascii="Calibri" w:hAnsi="Calibri"/>
        </w:rPr>
        <w:t>dell’Accordo Quadro</w:t>
      </w:r>
      <w:r w:rsidRPr="00CF63DC">
        <w:rPr>
          <w:rFonts w:ascii="Calibri" w:hAnsi="Calibri"/>
        </w:rPr>
        <w:t xml:space="preserve"> </w:t>
      </w:r>
      <w:r w:rsidRPr="00CF63DC">
        <w:rPr>
          <w:rFonts w:ascii="Calibri" w:hAnsi="Calibri" w:cs="TimesNewRoman"/>
        </w:rPr>
        <w:t>&lt;</w:t>
      </w:r>
      <w:r w:rsidRPr="00CF63DC">
        <w:rPr>
          <w:rFonts w:ascii="Calibri" w:hAnsi="Calibri" w:cs="TimesNewRoman"/>
          <w:i/>
          <w:color w:val="3366FF"/>
        </w:rPr>
        <w:t>indicare quanto previsto nel Capitolato d’oneri</w:t>
      </w:r>
      <w:r w:rsidRPr="00CF63DC">
        <w:rPr>
          <w:rFonts w:ascii="Calibri" w:hAnsi="Calibri" w:cs="TimesNewRoman"/>
        </w:rPr>
        <w:t>&gt;</w:t>
      </w:r>
      <w:r w:rsidRPr="0078051A">
        <w:rPr>
          <w:rFonts w:ascii="Calibri" w:hAnsi="Calibri" w:cs="TimesNewRoman"/>
        </w:rPr>
        <w:t>, nel caso di aggiudicazione con ribassi d’asta minori o uguali al 10%;</w:t>
      </w:r>
    </w:p>
    <w:p w:rsidR="006A469E" w:rsidRPr="00CF63DC" w:rsidRDefault="006A469E" w:rsidP="006A469E">
      <w:pPr>
        <w:autoSpaceDE w:val="0"/>
        <w:autoSpaceDN w:val="0"/>
        <w:adjustRightInd w:val="0"/>
        <w:rPr>
          <w:rFonts w:ascii="Calibri" w:hAnsi="Calibri" w:cs="TimesNewRoman"/>
        </w:rPr>
      </w:pPr>
      <w:r w:rsidRPr="0078051A">
        <w:rPr>
          <w:rFonts w:ascii="Calibri" w:hAnsi="Calibri" w:cs="TimesNewRoman"/>
        </w:rPr>
        <w:t xml:space="preserve">b) ____ % </w:t>
      </w:r>
      <w:r w:rsidRPr="00CF63DC">
        <w:rPr>
          <w:rFonts w:ascii="Calibri" w:hAnsi="Calibri"/>
        </w:rPr>
        <w:t xml:space="preserve">dell’importo massimo  &lt;oppure del prezzo di aggiudicazione&gt; </w:t>
      </w:r>
      <w:r w:rsidRPr="0078051A">
        <w:rPr>
          <w:rFonts w:ascii="Calibri" w:hAnsi="Calibri"/>
        </w:rPr>
        <w:t xml:space="preserve">dell’Accordo Quadro </w:t>
      </w:r>
      <w:r w:rsidRPr="00CF63DC">
        <w:rPr>
          <w:rFonts w:ascii="Calibri" w:hAnsi="Calibri" w:cs="TimesNewRoman"/>
        </w:rPr>
        <w:t>&lt;</w:t>
      </w:r>
      <w:r w:rsidRPr="00CF63DC">
        <w:rPr>
          <w:rFonts w:ascii="Calibri" w:hAnsi="Calibri" w:cs="TimesNewRoman"/>
          <w:i/>
          <w:color w:val="3366FF"/>
        </w:rPr>
        <w:t>indicare quanto previsto nel Disciplinare</w:t>
      </w:r>
      <w:r w:rsidRPr="00CF63DC" w:rsidDel="008E6D70">
        <w:rPr>
          <w:rFonts w:ascii="Calibri" w:hAnsi="Calibri" w:cs="TimesNewRoman"/>
          <w:i/>
          <w:color w:val="3366FF"/>
        </w:rPr>
        <w:t xml:space="preserve"> </w:t>
      </w:r>
      <w:r w:rsidRPr="00CF63DC">
        <w:rPr>
          <w:rFonts w:ascii="Calibri" w:hAnsi="Calibri" w:cs="TimesNewRoman"/>
        </w:rPr>
        <w:t>&gt;</w:t>
      </w:r>
      <w:r w:rsidRPr="0078051A">
        <w:rPr>
          <w:rFonts w:ascii="Calibri" w:hAnsi="Calibri" w:cs="TimesNewRoman"/>
        </w:rPr>
        <w:t>, aumentato di tanti punti percentuali quanti sono quelli eccedenti il 10%, nel caso di aggiudicazione con ribassi d'asta superiori al 10% e, nel caso di ribassi d'asta superiori al 20%, di ulteriori due punti percentuali per</w:t>
      </w:r>
      <w:r w:rsidRPr="00CF63DC">
        <w:rPr>
          <w:rFonts w:ascii="Calibri" w:hAnsi="Calibri" w:cs="TimesNewRoman"/>
        </w:rPr>
        <w:t xml:space="preserve"> ogni punto di ribasso superiore al 20%.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progressivamente svincolata in via automatica a misura dell'avanzamento dell'esecuzione, in conformità a quanto disposto dall’art. 103, comma 5, del Codice e nell’Accordo Quadro all’art. 1</w:t>
      </w:r>
      <w:r w:rsidR="00BC2DA6">
        <w:rPr>
          <w:rFonts w:ascii="Calibri" w:hAnsi="Calibri" w:cs="TimesNewRoman"/>
        </w:rPr>
        <w:t>3</w:t>
      </w:r>
      <w:r w:rsidRPr="0078051A">
        <w:rPr>
          <w:rFonts w:ascii="Calibri" w:hAnsi="Calibri" w:cs="TimesNewRoman"/>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lastRenderedPageBreak/>
        <w:t xml:space="preserve">Art. 5 - Surrogazione </w:t>
      </w:r>
      <w:r w:rsidRPr="00CF63DC">
        <w:rPr>
          <w:rFonts w:ascii="Calibri" w:hAnsi="Calibri" w:cs="TimesNewRoman"/>
        </w:rPr>
        <w:t xml:space="preserve">- </w:t>
      </w:r>
      <w:r w:rsidRPr="00CF63DC">
        <w:rPr>
          <w:rFonts w:ascii="Calibri" w:hAnsi="Calibri" w:cs="TimesNewRoman,Bold"/>
          <w:b/>
          <w:bCs/>
        </w:rPr>
        <w:t>Rivalsa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In caso di controversia fra il Garante e le Amministrazioni, il foro competente è quello determinato ai sensi dell’art. 25 cod. proc. civ.</w:t>
      </w:r>
      <w:r w:rsidRPr="0078051A">
        <w:rPr>
          <w:rFonts w:ascii="Calibri" w:hAnsi="Calibri" w:cs="TimesNewRoman"/>
        </w:rPr>
        <w:t xml:space="preserve"> </w:t>
      </w:r>
    </w:p>
    <w:p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rsidR="006A469E" w:rsidRPr="00CF63DC" w:rsidRDefault="006A469E" w:rsidP="006A469E">
      <w:pPr>
        <w:autoSpaceDE w:val="0"/>
        <w:autoSpaceDN w:val="0"/>
        <w:adjustRightInd w:val="0"/>
        <w:rPr>
          <w:rFonts w:ascii="Calibri" w:hAnsi="Calibri"/>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rPr>
          <w:rFonts w:ascii="Calibri" w:hAnsi="Calibri" w:cs="TrebuchetMS,Bold"/>
          <w:b/>
          <w:bCs/>
        </w:rPr>
      </w:pPr>
    </w:p>
    <w:p w:rsidR="006A469E" w:rsidRPr="009246BE" w:rsidRDefault="006A469E" w:rsidP="006A469E">
      <w:pPr>
        <w:widowControl/>
        <w:autoSpaceDE w:val="0"/>
        <w:autoSpaceDN w:val="0"/>
        <w:adjustRightInd w:val="0"/>
        <w:jc w:val="left"/>
        <w:rPr>
          <w:rFonts w:ascii="Calibri" w:hAnsi="Calibri"/>
        </w:rPr>
      </w:pPr>
    </w:p>
    <w:p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62D" w:rsidRDefault="0011462D" w:rsidP="006A469E">
      <w:pPr>
        <w:spacing w:line="240" w:lineRule="auto"/>
      </w:pPr>
      <w:r>
        <w:separator/>
      </w:r>
    </w:p>
  </w:endnote>
  <w:endnote w:type="continuationSeparator" w:id="0">
    <w:p w:rsidR="0011462D" w:rsidRDefault="0011462D"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BC3702"/>
  <w:p w:rsidR="00D57095" w:rsidRDefault="00BC3702"/>
  <w:p w:rsidR="00D57095" w:rsidRDefault="00BC370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Tr="00CF63DC">
      <w:trPr>
        <w:cantSplit/>
      </w:trPr>
      <w:tc>
        <w:tcPr>
          <w:tcW w:w="4313" w:type="pct"/>
        </w:tcPr>
        <w:p w:rsidR="00D57095" w:rsidRPr="0035699D" w:rsidRDefault="00BC3702" w:rsidP="00EC4046">
          <w:pPr>
            <w:pStyle w:val="Pidipagina"/>
            <w:pBdr>
              <w:top w:val="none" w:sz="0" w:space="0" w:color="auto"/>
            </w:pBdr>
            <w:ind w:right="-230"/>
            <w:rPr>
              <w:szCs w:val="16"/>
            </w:rPr>
          </w:pPr>
          <w:r>
            <w:t xml:space="preserve">Moduli di dichiarazione - </w:t>
          </w:r>
          <w:r w:rsidRPr="00237219">
            <w:t xml:space="preserve">Gara a procedura aperta ai sensi del D.Lgs. 50/2016 e s.m.i., </w:t>
          </w:r>
          <w:r w:rsidRPr="00237219">
            <w:rPr>
              <w:szCs w:val="16"/>
            </w:rPr>
            <w:t>per</w:t>
          </w:r>
          <w:r w:rsidRPr="00237219">
            <w:rPr>
              <w:rStyle w:val="CorsivobluCarattere"/>
              <w:szCs w:val="16"/>
            </w:rPr>
            <w:t xml:space="preserve"> </w:t>
          </w:r>
          <w:r w:rsidRPr="00237219">
            <w:rPr>
              <w:szCs w:val="16"/>
            </w:rPr>
            <w:t xml:space="preserve">la conclusione di un Accordo Quadro per ogni Lotto avente ad oggetto </w:t>
          </w:r>
          <w:r w:rsidRPr="0027434E">
            <w:rPr>
              <w:szCs w:val="16"/>
            </w:rPr>
            <w:t xml:space="preserve">l’affidamento di servizi di sicurezza da remoto, di compliance e controllo per le </w:t>
          </w:r>
          <w:r w:rsidRPr="00237219">
            <w:t xml:space="preserve">Pubbliche Amministrazioni </w:t>
          </w:r>
          <w:r>
            <w:t>– ID 2296</w:t>
          </w:r>
        </w:p>
      </w:tc>
      <w:tc>
        <w:tcPr>
          <w:tcW w:w="687" w:type="pct"/>
        </w:tcPr>
        <w:p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BC3702">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BC3702">
            <w:rPr>
              <w:rStyle w:val="Numeropagina"/>
              <w:b w:val="0"/>
              <w:noProof/>
            </w:rPr>
            <w:t>7</w:t>
          </w:r>
          <w:r>
            <w:rPr>
              <w:rStyle w:val="Numeropagina"/>
              <w:b w:val="0"/>
            </w:rPr>
            <w:fldChar w:fldCharType="end"/>
          </w:r>
        </w:p>
      </w:tc>
    </w:tr>
  </w:tbl>
  <w:p w:rsidR="00D57095" w:rsidRDefault="00BC3702">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szCs w:val="18"/>
      </w:rPr>
      <w:id w:val="-2055839350"/>
      <w:docPartObj>
        <w:docPartGallery w:val="Page Numbers (Bottom of Page)"/>
        <w:docPartUnique/>
      </w:docPartObj>
    </w:sdtPr>
    <w:sdtEndPr/>
    <w:sdtContent>
      <w:sdt>
        <w:sdtPr>
          <w:rPr>
            <w:rFonts w:asciiTheme="minorHAnsi" w:hAnsiTheme="minorHAnsi" w:cstheme="minorHAnsi"/>
            <w:sz w:val="18"/>
            <w:szCs w:val="18"/>
          </w:rPr>
          <w:id w:val="-1769616900"/>
          <w:docPartObj>
            <w:docPartGallery w:val="Page Numbers (Top of Page)"/>
            <w:docPartUnique/>
          </w:docPartObj>
        </w:sdtPr>
        <w:sdtEndPr/>
        <w:sdtContent>
          <w:p w:rsidR="00B37A72" w:rsidRPr="00B37A72" w:rsidRDefault="00B37A72">
            <w:pPr>
              <w:pStyle w:val="Pidipagina"/>
              <w:jc w:val="right"/>
              <w:rPr>
                <w:rFonts w:asciiTheme="minorHAnsi" w:hAnsiTheme="minorHAnsi" w:cstheme="minorHAnsi"/>
                <w:sz w:val="18"/>
                <w:szCs w:val="18"/>
              </w:rPr>
            </w:pPr>
            <w:r w:rsidRPr="00B37A72">
              <w:rPr>
                <w:rFonts w:asciiTheme="minorHAnsi" w:hAnsiTheme="minorHAnsi" w:cstheme="minorHAnsi"/>
                <w:sz w:val="18"/>
                <w:szCs w:val="18"/>
              </w:rPr>
              <w:t xml:space="preserve">Pag. </w:t>
            </w:r>
            <w:r w:rsidRPr="00B37A72">
              <w:rPr>
                <w:rFonts w:asciiTheme="minorHAnsi" w:hAnsiTheme="minorHAnsi" w:cstheme="minorHAnsi"/>
                <w:b/>
                <w:bCs/>
                <w:sz w:val="18"/>
                <w:szCs w:val="18"/>
              </w:rPr>
              <w:fldChar w:fldCharType="begin"/>
            </w:r>
            <w:r w:rsidRPr="00B37A72">
              <w:rPr>
                <w:rFonts w:asciiTheme="minorHAnsi" w:hAnsiTheme="minorHAnsi" w:cstheme="minorHAnsi"/>
                <w:b/>
                <w:bCs/>
                <w:sz w:val="18"/>
                <w:szCs w:val="18"/>
              </w:rPr>
              <w:instrText>PAGE</w:instrText>
            </w:r>
            <w:r w:rsidRPr="00B37A72">
              <w:rPr>
                <w:rFonts w:asciiTheme="minorHAnsi" w:hAnsiTheme="minorHAnsi" w:cstheme="minorHAnsi"/>
                <w:b/>
                <w:bCs/>
                <w:sz w:val="18"/>
                <w:szCs w:val="18"/>
              </w:rPr>
              <w:fldChar w:fldCharType="separate"/>
            </w:r>
            <w:r w:rsidR="00BC3702">
              <w:rPr>
                <w:rFonts w:asciiTheme="minorHAnsi" w:hAnsiTheme="minorHAnsi" w:cstheme="minorHAnsi"/>
                <w:b/>
                <w:bCs/>
                <w:noProof/>
                <w:sz w:val="18"/>
                <w:szCs w:val="18"/>
              </w:rPr>
              <w:t>1</w:t>
            </w:r>
            <w:r w:rsidRPr="00B37A72">
              <w:rPr>
                <w:rFonts w:asciiTheme="minorHAnsi" w:hAnsiTheme="minorHAnsi" w:cstheme="minorHAnsi"/>
                <w:b/>
                <w:bCs/>
                <w:sz w:val="18"/>
                <w:szCs w:val="18"/>
              </w:rPr>
              <w:fldChar w:fldCharType="end"/>
            </w:r>
            <w:r w:rsidRPr="00B37A72">
              <w:rPr>
                <w:rFonts w:asciiTheme="minorHAnsi" w:hAnsiTheme="minorHAnsi" w:cstheme="minorHAnsi"/>
                <w:sz w:val="18"/>
                <w:szCs w:val="18"/>
              </w:rPr>
              <w:t xml:space="preserve"> di </w:t>
            </w:r>
            <w:r w:rsidRPr="00B37A72">
              <w:rPr>
                <w:rFonts w:asciiTheme="minorHAnsi" w:hAnsiTheme="minorHAnsi" w:cstheme="minorHAnsi"/>
                <w:b/>
                <w:bCs/>
                <w:sz w:val="18"/>
                <w:szCs w:val="18"/>
              </w:rPr>
              <w:fldChar w:fldCharType="begin"/>
            </w:r>
            <w:r w:rsidRPr="00B37A72">
              <w:rPr>
                <w:rFonts w:asciiTheme="minorHAnsi" w:hAnsiTheme="minorHAnsi" w:cstheme="minorHAnsi"/>
                <w:b/>
                <w:bCs/>
                <w:sz w:val="18"/>
                <w:szCs w:val="18"/>
              </w:rPr>
              <w:instrText>NUMPAGES</w:instrText>
            </w:r>
            <w:r w:rsidRPr="00B37A72">
              <w:rPr>
                <w:rFonts w:asciiTheme="minorHAnsi" w:hAnsiTheme="minorHAnsi" w:cstheme="minorHAnsi"/>
                <w:b/>
                <w:bCs/>
                <w:sz w:val="18"/>
                <w:szCs w:val="18"/>
              </w:rPr>
              <w:fldChar w:fldCharType="separate"/>
            </w:r>
            <w:r w:rsidR="00BC3702">
              <w:rPr>
                <w:rFonts w:asciiTheme="minorHAnsi" w:hAnsiTheme="minorHAnsi" w:cstheme="minorHAnsi"/>
                <w:b/>
                <w:bCs/>
                <w:noProof/>
                <w:sz w:val="18"/>
                <w:szCs w:val="18"/>
              </w:rPr>
              <w:t>7</w:t>
            </w:r>
            <w:r w:rsidRPr="00B37A72">
              <w:rPr>
                <w:rFonts w:asciiTheme="minorHAnsi" w:hAnsiTheme="minorHAnsi" w:cstheme="minorHAnsi"/>
                <w:b/>
                <w:bCs/>
                <w:sz w:val="18"/>
                <w:szCs w:val="18"/>
              </w:rPr>
              <w:fldChar w:fldCharType="end"/>
            </w:r>
          </w:p>
        </w:sdtContent>
      </w:sdt>
    </w:sdtContent>
  </w:sdt>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9E" w:rsidRDefault="00BC3702" w:rsidP="00BC3702">
    <w:pPr>
      <w:pStyle w:val="Pidipagina"/>
      <w:pBdr>
        <w:top w:val="none" w:sz="0" w:space="0" w:color="auto"/>
      </w:pBdr>
      <w:ind w:right="139"/>
      <w:rPr>
        <w:rFonts w:ascii="Calibri" w:hAnsi="Calibri"/>
      </w:rPr>
    </w:pPr>
    <w:r>
      <w:t xml:space="preserve">Moduli di dichiarazione - </w:t>
    </w:r>
    <w:r w:rsidRPr="00237219">
      <w:t xml:space="preserve">Gara a procedura aperta ai sensi del D.Lgs. 50/2016 e s.m.i., </w:t>
    </w:r>
    <w:r w:rsidRPr="00237219">
      <w:rPr>
        <w:szCs w:val="16"/>
      </w:rPr>
      <w:t>per</w:t>
    </w:r>
    <w:r w:rsidRPr="00237219">
      <w:rPr>
        <w:rStyle w:val="CorsivobluCarattere"/>
        <w:szCs w:val="16"/>
      </w:rPr>
      <w:t xml:space="preserve"> </w:t>
    </w:r>
    <w:r w:rsidRPr="00237219">
      <w:rPr>
        <w:szCs w:val="16"/>
      </w:rPr>
      <w:t xml:space="preserve">la conclusione di un Accordo Quadro per ogni Lotto avente ad oggetto </w:t>
    </w:r>
    <w:r w:rsidRPr="0027434E">
      <w:rPr>
        <w:szCs w:val="16"/>
      </w:rPr>
      <w:t xml:space="preserve">l’affidamento di servizi di sicurezza da remoto, di compliance e controllo per le </w:t>
    </w:r>
    <w:r w:rsidRPr="00237219">
      <w:t xml:space="preserve">Pubbliche Amministrazioni </w:t>
    </w:r>
    <w:r>
      <w:t>– ID 2296</w:t>
    </w:r>
    <w:r>
      <w:t xml:space="preserve">                                                               </w:t>
    </w:r>
    <w:bookmarkStart w:id="0" w:name="_GoBack"/>
    <w:bookmarkEnd w:id="0"/>
    <w:r>
      <w:t xml:space="preserve"> </w:t>
    </w:r>
    <w:r w:rsidR="006A469E" w:rsidRPr="006A469E">
      <w:rPr>
        <w:rFonts w:ascii="Calibri" w:hAnsi="Calibri"/>
      </w:rPr>
      <w:fldChar w:fldCharType="begin"/>
    </w:r>
    <w:r w:rsidR="006A469E" w:rsidRPr="006A469E">
      <w:rPr>
        <w:rFonts w:ascii="Calibri" w:hAnsi="Calibri"/>
      </w:rPr>
      <w:instrText>PAGE   \* MERGEFORMAT</w:instrText>
    </w:r>
    <w:r w:rsidR="006A469E" w:rsidRPr="006A469E">
      <w:rPr>
        <w:rFonts w:ascii="Calibri" w:hAnsi="Calibri"/>
      </w:rPr>
      <w:fldChar w:fldCharType="separate"/>
    </w:r>
    <w:r>
      <w:rPr>
        <w:rFonts w:ascii="Calibri" w:hAnsi="Calibri"/>
        <w:noProof/>
      </w:rPr>
      <w:t>4</w:t>
    </w:r>
    <w:r w:rsidR="006A469E" w:rsidRPr="006A469E">
      <w:rPr>
        <w:rFonts w:ascii="Calibri" w:hAnsi="Calibri"/>
      </w:rPr>
      <w:fldChar w:fldCharType="end"/>
    </w:r>
  </w:p>
  <w:p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62D" w:rsidRDefault="0011462D" w:rsidP="006A469E">
      <w:pPr>
        <w:spacing w:line="240" w:lineRule="auto"/>
      </w:pPr>
      <w:r>
        <w:separator/>
      </w:r>
    </w:p>
  </w:footnote>
  <w:footnote w:type="continuationSeparator" w:id="0">
    <w:p w:rsidR="0011462D" w:rsidRDefault="0011462D"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702" w:rsidRDefault="00BC370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BC3702"/>
  <w:p w:rsidR="0072365E" w:rsidRDefault="0072365E">
    <w:pPr>
      <w:pStyle w:val="TAGTECNICI"/>
    </w:pPr>
  </w:p>
  <w:p w:rsidR="0072365E" w:rsidRDefault="0072365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41A9C"/>
    <w:rsid w:val="0011462D"/>
    <w:rsid w:val="00197E7E"/>
    <w:rsid w:val="0025363B"/>
    <w:rsid w:val="00307A10"/>
    <w:rsid w:val="0051269D"/>
    <w:rsid w:val="0059255D"/>
    <w:rsid w:val="00630E1F"/>
    <w:rsid w:val="006A469E"/>
    <w:rsid w:val="006B1B61"/>
    <w:rsid w:val="0072365E"/>
    <w:rsid w:val="00736919"/>
    <w:rsid w:val="00797E37"/>
    <w:rsid w:val="008B02BD"/>
    <w:rsid w:val="00975E4D"/>
    <w:rsid w:val="00A23F96"/>
    <w:rsid w:val="00A42ACF"/>
    <w:rsid w:val="00B37A72"/>
    <w:rsid w:val="00BC2DA6"/>
    <w:rsid w:val="00BC3702"/>
    <w:rsid w:val="00BC3A92"/>
    <w:rsid w:val="00D835D8"/>
    <w:rsid w:val="00DC44F0"/>
    <w:rsid w:val="00EC4046"/>
    <w:rsid w:val="00FB50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EBE0CE"/>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uiPriority w:val="99"/>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uiPriority w:val="99"/>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BC3702"/>
    <w:pPr>
      <w:autoSpaceDE w:val="0"/>
      <w:autoSpaceDN w:val="0"/>
      <w:adjustRightInd w:val="0"/>
    </w:pPr>
    <w:rPr>
      <w:rFonts w:eastAsiaTheme="minorHAnsi" w:cs="Trebuchet MS"/>
      <w:i/>
      <w:color w:val="0000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2404</Words>
  <Characters>13708</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16</cp:revision>
  <dcterms:created xsi:type="dcterms:W3CDTF">2021-07-26T09:06:00Z</dcterms:created>
  <dcterms:modified xsi:type="dcterms:W3CDTF">2021-09-08T14:37:00Z</dcterms:modified>
</cp:coreProperties>
</file>

<file path=docProps/custom.xml><?xml version="1.0" encoding="utf-8"?>
<Properties xmlns="http://schemas.openxmlformats.org/officeDocument/2006/custom-properties" xmlns:vt="http://schemas.openxmlformats.org/officeDocument/2006/docPropsVTypes">
  <property fmtid="{6DA74429-3F23-4A81-A00E-1A31F8A4A0B6}" pid="2" name="NomeTemplate">
    <vt:lpwstr>ALL05AQ</vt:lpwstr>
  </property>
  <property fmtid="{07548DE1-53D8-4716-969D-B4676FBF11FC}" pid="3" name="MajorVersion">
    <vt:lpwstr>2</vt:lpwstr>
  </property>
  <property fmtid="{33DD82F9-002B-4154-B4CC-19DD1C990AFD}" pid="4" name="MinorVersion">
    <vt:lpwstr>0</vt:lpwstr>
  </property>
</Properties>
</file>