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bookmarkStart w:id="0" w:name="_GoBack"/>
      <w:bookmarkEnd w:id="0"/>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58D7A7F5" w:rsidR="000D6167" w:rsidRPr="00C82A8C" w:rsidRDefault="00531BB9" w:rsidP="00531BB9">
            <w:pPr>
              <w:rPr>
                <w:rFonts w:ascii="Arial" w:hAnsi="Arial" w:cs="Arial"/>
                <w:color w:val="000000" w:themeColor="text1"/>
                <w:sz w:val="14"/>
                <w:szCs w:val="14"/>
              </w:rPr>
            </w:pPr>
            <w:r w:rsidRPr="00531BB9">
              <w:rPr>
                <w:rFonts w:ascii="Arial" w:hAnsi="Arial" w:cs="Arial"/>
                <w:sz w:val="14"/>
                <w:szCs w:val="14"/>
              </w:rPr>
              <w:t>PROCEDURA APERTA PER LA CONCLUSIONE UN ACCORDO QUADRO CON PIÙ OPERATORI ECONOMICI, A CONDIZIONI NON TUTTE FISSATE, AI SENSI DELL’ART. 54, COMMA 4 LETTERA C), DEL D. LGS. N. 50/2016 AVENTE AD OGGETTO L’AFFIDAMENTO DEL SERVIZIO DI FLEET MANAGEMENT DEGLI AUTOVEICOLI DI PROPRIETÀ DELLE PUBBLICHE AMMINISTRAZIONI</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27E77670" w:rsidR="000D6167" w:rsidRPr="00056C90" w:rsidRDefault="000D6167" w:rsidP="00531BB9">
            <w:pPr>
              <w:rPr>
                <w:rFonts w:ascii="Arial" w:hAnsi="Arial" w:cs="Arial"/>
                <w:color w:val="395FD7"/>
                <w:sz w:val="14"/>
                <w:szCs w:val="14"/>
              </w:rPr>
            </w:pPr>
            <w:r w:rsidRPr="00C82A8C">
              <w:rPr>
                <w:rFonts w:ascii="Arial" w:hAnsi="Arial" w:cs="Arial"/>
                <w:sz w:val="14"/>
                <w:szCs w:val="14"/>
              </w:rPr>
              <w:t xml:space="preserve">ID </w:t>
            </w:r>
            <w:r w:rsidR="00531BB9">
              <w:rPr>
                <w:rFonts w:ascii="Arial" w:hAnsi="Arial" w:cs="Arial"/>
                <w:sz w:val="14"/>
                <w:szCs w:val="14"/>
              </w:rPr>
              <w:t>1791</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685E96CE" w:rsidR="000D6167" w:rsidRPr="00C82A8C" w:rsidRDefault="00A82E85" w:rsidP="00F84A30">
            <w:pPr>
              <w:suppressAutoHyphens/>
              <w:rPr>
                <w:rFonts w:ascii="Arial" w:hAnsi="Arial" w:cs="Arial"/>
                <w:sz w:val="14"/>
                <w:szCs w:val="14"/>
              </w:rPr>
            </w:pPr>
            <w:r>
              <w:rPr>
                <w:rFonts w:ascii="Arial" w:hAnsi="Arial" w:cs="Arial"/>
                <w:sz w:val="14"/>
                <w:szCs w:val="14"/>
              </w:rPr>
              <w:t>69141221F9</w:t>
            </w:r>
            <w:r w:rsidR="00D33E19">
              <w:rPr>
                <w:rFonts w:ascii="Arial" w:hAnsi="Arial" w:cs="Arial"/>
                <w:sz w:val="14"/>
                <w:szCs w:val="14"/>
              </w:rPr>
              <w:t xml:space="preserve"> </w:t>
            </w:r>
          </w:p>
          <w:p w14:paraId="28BE81F8" w14:textId="77777777"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è una microimpresa,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comma 2, lett.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lett.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lett.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lett.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“Self-Cleaning”</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lett.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o “Self-Cleaning,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lett.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lett.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lett.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lett.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lett.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lett.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a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lett.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418E371C" w14:textId="1D8FC509" w:rsidR="00531BB9" w:rsidRPr="00531BB9" w:rsidRDefault="00472387" w:rsidP="00531BB9">
      <w:pPr>
        <w:rPr>
          <w:rFonts w:ascii="Arial" w:hAnsi="Arial" w:cs="Arial"/>
          <w:i/>
          <w:color w:val="000000" w:themeColor="text1"/>
          <w:sz w:val="15"/>
          <w:szCs w:val="15"/>
        </w:rPr>
      </w:pPr>
      <w:r w:rsidRPr="00C82A8C">
        <w:rPr>
          <w:rFonts w:ascii="Arial" w:hAnsi="Arial" w:cs="Arial"/>
          <w:i/>
          <w:color w:val="000000" w:themeColor="text1"/>
          <w:sz w:val="15"/>
          <w:szCs w:val="15"/>
        </w:rPr>
        <w:t>Il sottoscritto/I sottoscritti autorizza/autorizzano formalmente</w:t>
      </w:r>
      <w:r w:rsidR="00531BB9">
        <w:rPr>
          <w:rFonts w:ascii="Arial" w:hAnsi="Arial" w:cs="Arial"/>
          <w:i/>
          <w:color w:val="000000" w:themeColor="text1"/>
          <w:sz w:val="15"/>
          <w:szCs w:val="15"/>
        </w:rPr>
        <w:t xml:space="preserve"> la Consip S.p.A. </w:t>
      </w:r>
      <w:r w:rsidRPr="00C82A8C">
        <w:rPr>
          <w:rFonts w:ascii="Arial" w:hAnsi="Arial" w:cs="Arial"/>
          <w:i/>
          <w:color w:val="000000" w:themeColor="text1"/>
          <w:sz w:val="15"/>
          <w:szCs w:val="15"/>
        </w:rPr>
        <w:t xml:space="preserve">ad accedere ai documenti complementari alle informazioni, di cui </w:t>
      </w:r>
      <w:r w:rsidR="00531BB9">
        <w:rPr>
          <w:rFonts w:ascii="Arial" w:hAnsi="Arial" w:cs="Arial"/>
          <w:i/>
          <w:color w:val="000000" w:themeColor="text1"/>
          <w:sz w:val="15"/>
          <w:szCs w:val="15"/>
        </w:rPr>
        <w:t>al pre</w:t>
      </w:r>
      <w:r w:rsidRPr="00C82A8C">
        <w:rPr>
          <w:rFonts w:ascii="Arial" w:hAnsi="Arial" w:cs="Arial"/>
          <w:i/>
          <w:color w:val="000000" w:themeColor="text1"/>
          <w:sz w:val="15"/>
          <w:szCs w:val="15"/>
        </w:rPr>
        <w:t>sente documento di gara unico europeo, ai fini della</w:t>
      </w:r>
      <w:r w:rsidRPr="00C82A8C">
        <w:rPr>
          <w:rFonts w:ascii="Arial" w:hAnsi="Arial" w:cs="Arial"/>
          <w:color w:val="000000" w:themeColor="text1"/>
          <w:sz w:val="15"/>
          <w:szCs w:val="15"/>
        </w:rPr>
        <w:t xml:space="preserve"> </w:t>
      </w:r>
      <w:r w:rsidRPr="00531BB9">
        <w:rPr>
          <w:rFonts w:ascii="Arial" w:hAnsi="Arial" w:cs="Arial"/>
          <w:i/>
          <w:color w:val="000000" w:themeColor="text1"/>
          <w:sz w:val="15"/>
          <w:szCs w:val="15"/>
        </w:rPr>
        <w:t>procedura di appalto:</w:t>
      </w:r>
      <w:r w:rsidR="00531BB9" w:rsidRPr="00531BB9">
        <w:rPr>
          <w:rFonts w:asciiTheme="minorHAnsi" w:eastAsia="Times New Roman" w:hAnsiTheme="minorHAnsi" w:cs="Trebuchet MS"/>
          <w:sz w:val="16"/>
          <w:szCs w:val="16"/>
          <w:lang w:eastAsia="ar-SA" w:bidi="ar-SA"/>
        </w:rPr>
        <w:t xml:space="preserve"> </w:t>
      </w:r>
      <w:r w:rsidR="00531BB9" w:rsidRPr="00531BB9">
        <w:rPr>
          <w:rFonts w:asciiTheme="minorHAnsi" w:eastAsia="Times New Roman" w:hAnsiTheme="minorHAnsi" w:cs="Trebuchet MS"/>
          <w:i/>
          <w:sz w:val="16"/>
          <w:szCs w:val="16"/>
          <w:lang w:eastAsia="ar-SA" w:bidi="ar-SA"/>
        </w:rPr>
        <w:t>P</w:t>
      </w:r>
      <w:r w:rsidR="00531BB9" w:rsidRPr="00531BB9">
        <w:rPr>
          <w:rFonts w:ascii="Arial" w:hAnsi="Arial" w:cs="Arial"/>
          <w:i/>
          <w:color w:val="000000" w:themeColor="text1"/>
          <w:sz w:val="15"/>
          <w:szCs w:val="15"/>
        </w:rPr>
        <w:t>rocedura aperta per la conclusione un accordo quadro con più operatori economici, a condizioni non tutte fissate, ai sensi dell’art. 54, comma 4 lettera c), del d. lgs. n. 50/2016 avente ad oggetto l’affidamento del servizio di fleet management degli autoveicoli di proprietà delle pubbliche amministrazioni – id 1791</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277E2" w14:textId="77777777" w:rsidR="00D8622C" w:rsidRDefault="00D8622C" w:rsidP="00472387">
      <w:pPr>
        <w:spacing w:before="0" w:after="0"/>
      </w:pPr>
      <w:r>
        <w:separator/>
      </w:r>
    </w:p>
  </w:endnote>
  <w:endnote w:type="continuationSeparator" w:id="0">
    <w:p w14:paraId="4A7160FB" w14:textId="77777777" w:rsidR="00D8622C" w:rsidRDefault="00D8622C" w:rsidP="00472387">
      <w:pPr>
        <w:spacing w:before="0" w:after="0"/>
      </w:pPr>
      <w:r>
        <w:continuationSeparator/>
      </w:r>
    </w:p>
  </w:endnote>
  <w:endnote w:type="continuationNotice" w:id="1">
    <w:p w14:paraId="436F7624" w14:textId="77777777" w:rsidR="00D8622C" w:rsidRDefault="00D8622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443680">
          <w:rPr>
            <w:noProof/>
          </w:rPr>
          <w:t>1</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BE414" w14:textId="77777777" w:rsidR="00D8622C" w:rsidRDefault="00D8622C" w:rsidP="00472387">
      <w:pPr>
        <w:spacing w:before="0" w:after="0"/>
      </w:pPr>
      <w:r>
        <w:separator/>
      </w:r>
    </w:p>
  </w:footnote>
  <w:footnote w:type="continuationSeparator" w:id="0">
    <w:p w14:paraId="568E9322" w14:textId="77777777" w:rsidR="00D8622C" w:rsidRDefault="00D8622C" w:rsidP="00472387">
      <w:pPr>
        <w:spacing w:before="0" w:after="0"/>
      </w:pPr>
      <w:r>
        <w:continuationSeparator/>
      </w:r>
    </w:p>
  </w:footnote>
  <w:footnote w:type="continuationNotice" w:id="1">
    <w:p w14:paraId="021CC609" w14:textId="77777777" w:rsidR="00D8622C" w:rsidRDefault="00D8622C">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56C90"/>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26068"/>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A6FD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43680"/>
    <w:rsid w:val="00456454"/>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0877"/>
    <w:rsid w:val="00515B8A"/>
    <w:rsid w:val="005305AC"/>
    <w:rsid w:val="00531394"/>
    <w:rsid w:val="00531BB9"/>
    <w:rsid w:val="005426D4"/>
    <w:rsid w:val="00543E2A"/>
    <w:rsid w:val="005504B9"/>
    <w:rsid w:val="005564F5"/>
    <w:rsid w:val="00564D5B"/>
    <w:rsid w:val="005A2D5D"/>
    <w:rsid w:val="005A6DED"/>
    <w:rsid w:val="005B4E2F"/>
    <w:rsid w:val="005C4314"/>
    <w:rsid w:val="005D3E21"/>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82E85"/>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1BAF"/>
    <w:rsid w:val="00D76E58"/>
    <w:rsid w:val="00D8622C"/>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245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F8A884-9126-44D6-B89D-6CFA3C74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6457</Words>
  <Characters>36810</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2016-12-19T10:23:00Z</dcterms:created>
  <dcterms:modified xsi:type="dcterms:W3CDTF">2016-12-19T13:54:00Z</dcterms:modified>
</cp:coreProperties>
</file>