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9819BB" w:rsidRDefault="00D4261A" w:rsidP="002C70BC">
      <w:pPr>
        <w:pStyle w:val="Annexetitre"/>
        <w:spacing w:before="0" w:after="0"/>
        <w:rPr>
          <w:b w:val="0"/>
          <w:i/>
          <w:color w:val="000000" w:themeColor="text1"/>
          <w:sz w:val="15"/>
          <w:szCs w:val="15"/>
          <w:u w:val="none"/>
        </w:rPr>
      </w:pPr>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005FB9FE" w:rsidR="000D6167" w:rsidRPr="009819BB" w:rsidRDefault="008D7B57" w:rsidP="00F84A30">
            <w:pPr>
              <w:rPr>
                <w:rFonts w:ascii="Arial" w:hAnsi="Arial" w:cs="Arial"/>
                <w:color w:val="000000" w:themeColor="text1"/>
                <w:sz w:val="15"/>
                <w:szCs w:val="15"/>
              </w:rPr>
            </w:pPr>
            <w:r w:rsidRPr="00F037D6">
              <w:rPr>
                <w:rFonts w:ascii="Arial" w:hAnsi="Arial" w:cs="Arial"/>
                <w:color w:val="000000" w:themeColor="text1"/>
                <w:sz w:val="15"/>
                <w:szCs w:val="15"/>
              </w:rPr>
              <w:t xml:space="preserve">Gara comunitaria a procedura aperta, ai sensi dell’art. 60 del </w:t>
            </w:r>
            <w:proofErr w:type="spellStart"/>
            <w:r w:rsidRPr="00F037D6">
              <w:rPr>
                <w:rFonts w:ascii="Arial" w:hAnsi="Arial" w:cs="Arial"/>
                <w:color w:val="000000" w:themeColor="text1"/>
                <w:sz w:val="15"/>
                <w:szCs w:val="15"/>
              </w:rPr>
              <w:t>D.Lgs.</w:t>
            </w:r>
            <w:proofErr w:type="spellEnd"/>
            <w:r w:rsidRPr="00F037D6">
              <w:rPr>
                <w:rFonts w:ascii="Arial" w:hAnsi="Arial" w:cs="Arial"/>
                <w:color w:val="000000" w:themeColor="text1"/>
                <w:sz w:val="15"/>
                <w:szCs w:val="15"/>
              </w:rPr>
              <w:t xml:space="preserve"> 50/2016 e </w:t>
            </w:r>
            <w:proofErr w:type="spellStart"/>
            <w:r w:rsidRPr="00F037D6">
              <w:rPr>
                <w:rFonts w:ascii="Arial" w:hAnsi="Arial" w:cs="Arial"/>
                <w:color w:val="000000" w:themeColor="text1"/>
                <w:sz w:val="15"/>
                <w:szCs w:val="15"/>
              </w:rPr>
              <w:t>s.m.i.</w:t>
            </w:r>
            <w:proofErr w:type="spellEnd"/>
            <w:r w:rsidRPr="00F037D6">
              <w:rPr>
                <w:rFonts w:ascii="Arial" w:hAnsi="Arial" w:cs="Arial"/>
                <w:color w:val="000000" w:themeColor="text1"/>
                <w:sz w:val="15"/>
                <w:szCs w:val="15"/>
              </w:rPr>
              <w:t>, per l’acquisizione di servizi di monitoraggio sull’esecuzione dei contratti ICT</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346A0C92" w:rsidR="000D6167" w:rsidRPr="009819BB" w:rsidRDefault="008D7B57" w:rsidP="00033F19">
            <w:pPr>
              <w:rPr>
                <w:rFonts w:ascii="Arial" w:hAnsi="Arial" w:cs="Arial"/>
                <w:color w:val="000000" w:themeColor="text1"/>
                <w:sz w:val="15"/>
                <w:szCs w:val="15"/>
              </w:rPr>
            </w:pPr>
            <w:r w:rsidRPr="009819BB">
              <w:rPr>
                <w:rFonts w:ascii="Arial" w:hAnsi="Arial" w:cs="Arial"/>
                <w:sz w:val="15"/>
                <w:szCs w:val="15"/>
              </w:rPr>
              <w:t xml:space="preserve">ID </w:t>
            </w:r>
            <w:r>
              <w:rPr>
                <w:rFonts w:ascii="Arial" w:hAnsi="Arial" w:cs="Arial"/>
                <w:sz w:val="15"/>
                <w:szCs w:val="15"/>
              </w:rPr>
              <w:t>1771</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38EA5759" w14:textId="77777777" w:rsidR="008B18DB" w:rsidRDefault="008B18DB" w:rsidP="008B18DB">
            <w:pPr>
              <w:rPr>
                <w:rFonts w:ascii="Arial" w:hAnsi="Arial" w:cs="Arial"/>
                <w:sz w:val="15"/>
                <w:szCs w:val="15"/>
              </w:rPr>
            </w:pPr>
            <w:r w:rsidRPr="008B18DB">
              <w:rPr>
                <w:rFonts w:ascii="Arial" w:hAnsi="Arial" w:cs="Arial"/>
                <w:sz w:val="15"/>
                <w:szCs w:val="15"/>
              </w:rPr>
              <w:t>7211906D17</w:t>
            </w:r>
          </w:p>
          <w:p w14:paraId="28BE81F8" w14:textId="33213F4C" w:rsidR="004B1B84" w:rsidRPr="008B18DB" w:rsidRDefault="004B1B84" w:rsidP="008B18DB">
            <w:pPr>
              <w:rPr>
                <w:rFonts w:ascii="Arial" w:hAnsi="Arial" w:cs="Arial"/>
                <w:sz w:val="15"/>
                <w:szCs w:val="15"/>
              </w:rPr>
            </w:pPr>
            <w:r w:rsidRPr="008B18DB">
              <w:rPr>
                <w:rFonts w:ascii="Arial" w:hAnsi="Arial" w:cs="Arial"/>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bookmarkStart w:id="0" w:name="_GoBack"/>
      <w:bookmarkEnd w:id="0"/>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FA51F9" w:rsidRDefault="00472387" w:rsidP="00F84A30">
            <w:pPr>
              <w:pStyle w:val="Text1"/>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267B2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267B2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FA51F9" w:rsidRDefault="00472387"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404A1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404A1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FA51F9" w:rsidRDefault="00472387"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 [</w:t>
            </w:r>
            <w:r w:rsidR="00D62E03" w:rsidRPr="00FA51F9">
              <w:rPr>
                <w:rFonts w:ascii="Arial" w:hAnsi="Arial" w:cs="Arial"/>
                <w:b/>
                <w:color w:val="000000" w:themeColor="text1"/>
                <w:sz w:val="15"/>
                <w:szCs w:val="15"/>
              </w:rPr>
              <w:t xml:space="preserve"> </w:t>
            </w:r>
            <w:r w:rsidR="00B46A18" w:rsidRPr="00FA51F9">
              <w:rPr>
                <w:rFonts w:ascii="Arial" w:hAnsi="Arial" w:cs="Arial"/>
                <w:b/>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FA51F9" w:rsidRDefault="00132552" w:rsidP="00F73670">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FA51F9" w:rsidRDefault="00B6440F" w:rsidP="00F73670">
            <w:pPr>
              <w:pStyle w:val="Text1"/>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 xml:space="preserve">e) </w:t>
            </w:r>
            <w:r w:rsidRPr="00FA51F9">
              <w:rPr>
                <w:rFonts w:ascii="Arial" w:hAnsi="Arial" w:cs="Arial"/>
                <w:b/>
                <w:color w:val="000000" w:themeColor="text1"/>
                <w:sz w:val="15"/>
                <w:szCs w:val="15"/>
              </w:rPr>
              <w:t>[ ] Sì [ ] No</w:t>
            </w:r>
            <w:r w:rsidR="00F73670" w:rsidRPr="00FA51F9">
              <w:rPr>
                <w:rFonts w:ascii="Arial" w:hAnsi="Arial" w:cs="Arial"/>
                <w:b/>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FA51F9" w:rsidRDefault="00072730" w:rsidP="00B97715">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FA51F9" w:rsidRDefault="00E8283A" w:rsidP="00B97715">
            <w:pPr>
              <w:pStyle w:val="Text1"/>
              <w:spacing w:before="0" w:after="0"/>
              <w:ind w:left="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00472387"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00087C9C" w:rsidRPr="00FA51F9">
              <w:rPr>
                <w:rFonts w:ascii="Arial" w:hAnsi="Arial" w:cs="Arial"/>
                <w:b/>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FA51F9" w:rsidRDefault="00472387" w:rsidP="00F84A30">
            <w:pPr>
              <w:pStyle w:val="Text1"/>
              <w:ind w:left="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FA51F9" w:rsidRDefault="00472387" w:rsidP="00B97715">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FA51F9" w:rsidRDefault="00472387" w:rsidP="00B97715">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lastRenderedPageBreak/>
              <w:t>[</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]Sì [</w:t>
            </w:r>
            <w:r w:rsidR="00D62E03"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FA51F9" w:rsidRDefault="008F7FC1" w:rsidP="00F84A30">
            <w:pPr>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79AE71C7" w:rsidR="00B62EBD" w:rsidRPr="009819BB" w:rsidRDefault="008F7FC1" w:rsidP="00B97715">
            <w:pPr>
              <w:spacing w:before="0"/>
              <w:rPr>
                <w:rFonts w:ascii="Arial" w:hAnsi="Arial" w:cs="Arial"/>
                <w:color w:val="000000" w:themeColor="text1"/>
                <w:sz w:val="15"/>
                <w:szCs w:val="15"/>
              </w:rPr>
            </w:pPr>
            <w:r w:rsidRPr="009819BB">
              <w:rPr>
                <w:rFonts w:ascii="Arial" w:hAnsi="Arial" w:cs="Arial"/>
                <w:color w:val="000000" w:themeColor="text1"/>
                <w:sz w:val="15"/>
                <w:szCs w:val="15"/>
              </w:rPr>
              <w:t>c)</w:t>
            </w:r>
            <w:r w:rsidRPr="009819BB">
              <w:rPr>
                <w:rFonts w:ascii="Arial" w:hAnsi="Arial" w:cs="Arial"/>
                <w:b/>
                <w:color w:val="000000" w:themeColor="text1"/>
                <w:sz w:val="15"/>
                <w:szCs w:val="15"/>
              </w:rPr>
              <w:t xml:space="preserve"> </w:t>
            </w:r>
            <w:r w:rsidR="004B2302"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FA51F9" w:rsidRDefault="008F7FC1" w:rsidP="00F84A30">
            <w:pPr>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FA51F9" w:rsidRDefault="00B62EBD" w:rsidP="00102F2E">
            <w:pPr>
              <w:spacing w:before="0"/>
              <w:jc w:val="both"/>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FA51F9" w:rsidRDefault="00472387" w:rsidP="00F84A30">
            <w:pPr>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FA51F9" w:rsidRDefault="00CC2D89" w:rsidP="00CC48B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 xml:space="preserve">c1) </w:t>
            </w:r>
            <w:r w:rsidRPr="00FA51F9">
              <w:rPr>
                <w:rFonts w:ascii="Arial" w:hAnsi="Arial" w:cs="Arial"/>
                <w:b/>
                <w:color w:val="000000" w:themeColor="text1"/>
                <w:sz w:val="15"/>
                <w:szCs w:val="15"/>
              </w:rPr>
              <w:t>[</w:t>
            </w:r>
            <w:r w:rsidR="0007729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077297"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67029585" w14:textId="77777777" w:rsidR="00CC2D89" w:rsidRPr="00FA51F9"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w:t>
            </w: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 Sì [</w:t>
            </w:r>
            <w:r w:rsidRPr="00FA51F9">
              <w:rPr>
                <w:rFonts w:ascii="Arial" w:hAnsi="Arial" w:cs="Arial"/>
                <w:b/>
                <w:color w:val="000000" w:themeColor="text1"/>
                <w:sz w:val="15"/>
                <w:szCs w:val="15"/>
              </w:rPr>
              <w:t xml:space="preserve"> </w:t>
            </w:r>
            <w:r w:rsidR="00CC2D89" w:rsidRPr="00FA51F9">
              <w:rPr>
                <w:rFonts w:ascii="Arial" w:hAnsi="Arial" w:cs="Arial"/>
                <w:b/>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 </w:t>
            </w:r>
            <w:r w:rsidRPr="00FA51F9">
              <w:rPr>
                <w:rFonts w:ascii="Arial" w:hAnsi="Arial" w:cs="Arial"/>
                <w:b/>
                <w:color w:val="000000" w:themeColor="text1"/>
                <w:w w:val="0"/>
                <w:sz w:val="15"/>
                <w:szCs w:val="15"/>
              </w:rPr>
              <w:t>[</w:t>
            </w:r>
            <w:r w:rsidR="00077297" w:rsidRPr="00FA51F9">
              <w:rPr>
                <w:rFonts w:ascii="Arial" w:hAnsi="Arial" w:cs="Arial"/>
                <w:b/>
                <w:color w:val="000000" w:themeColor="text1"/>
                <w:w w:val="0"/>
                <w:sz w:val="15"/>
                <w:szCs w:val="15"/>
              </w:rPr>
              <w:t xml:space="preserve"> </w:t>
            </w:r>
            <w:r w:rsidRPr="00FA51F9">
              <w:rPr>
                <w:rFonts w:ascii="Arial" w:hAnsi="Arial" w:cs="Arial"/>
                <w:b/>
                <w:color w:val="000000" w:themeColor="text1"/>
                <w:w w:val="0"/>
                <w:sz w:val="15"/>
                <w:szCs w:val="15"/>
              </w:rPr>
              <w:t>] Sì [</w:t>
            </w:r>
            <w:r w:rsidR="00077297" w:rsidRPr="00FA51F9">
              <w:rPr>
                <w:rFonts w:ascii="Arial" w:hAnsi="Arial" w:cs="Arial"/>
                <w:b/>
                <w:color w:val="000000" w:themeColor="text1"/>
                <w:w w:val="0"/>
                <w:sz w:val="15"/>
                <w:szCs w:val="15"/>
              </w:rPr>
              <w:t xml:space="preserve"> </w:t>
            </w:r>
            <w:r w:rsidRPr="00FA51F9">
              <w:rPr>
                <w:rFonts w:ascii="Arial" w:hAnsi="Arial" w:cs="Arial"/>
                <w:b/>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FA51F9" w:rsidRDefault="001E2C0A" w:rsidP="00CC48B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c1</w:t>
            </w:r>
            <w:r w:rsidRPr="00FA51F9">
              <w:rPr>
                <w:rFonts w:ascii="Arial" w:hAnsi="Arial" w:cs="Arial"/>
                <w:b/>
                <w:color w:val="000000" w:themeColor="text1"/>
                <w:sz w:val="15"/>
                <w:szCs w:val="15"/>
              </w:rPr>
              <w:t>) [ ] Sì [ ] No</w:t>
            </w:r>
          </w:p>
          <w:p w14:paraId="3348FB94" w14:textId="4851628C" w:rsidR="001E2C0A" w:rsidRPr="00FA51F9"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FA51F9">
              <w:rPr>
                <w:rFonts w:ascii="Arial" w:hAnsi="Arial" w:cs="Arial"/>
                <w:b/>
                <w:color w:val="000000" w:themeColor="text1"/>
                <w:sz w:val="15"/>
                <w:szCs w:val="15"/>
              </w:rPr>
              <w:t xml:space="preserve"> </w:t>
            </w:r>
            <w:r w:rsidR="001E2C0A" w:rsidRPr="00FA51F9">
              <w:rPr>
                <w:rFonts w:ascii="Arial" w:hAnsi="Arial" w:cs="Arial"/>
                <w:b/>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w:t>
            </w:r>
            <w:r w:rsidRPr="002055E3">
              <w:rPr>
                <w:rFonts w:ascii="Arial" w:hAnsi="Arial" w:cs="Arial"/>
                <w:b/>
                <w:color w:val="000000" w:themeColor="text1"/>
                <w:w w:val="0"/>
                <w:sz w:val="15"/>
                <w:szCs w:val="15"/>
              </w:rPr>
              <w:t>)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2055E3" w:rsidRDefault="00472387" w:rsidP="00F84A30">
            <w:pPr>
              <w:rPr>
                <w:rFonts w:ascii="Arial" w:hAnsi="Arial" w:cs="Arial"/>
                <w:b/>
                <w:color w:val="000000" w:themeColor="text1"/>
                <w:sz w:val="15"/>
                <w:szCs w:val="15"/>
              </w:rPr>
            </w:pPr>
            <w:r w:rsidRPr="002055E3">
              <w:rPr>
                <w:rFonts w:ascii="Arial" w:hAnsi="Arial" w:cs="Arial"/>
                <w:b/>
                <w:color w:val="000000" w:themeColor="text1"/>
                <w:sz w:val="15"/>
                <w:szCs w:val="15"/>
              </w:rPr>
              <w:lastRenderedPageBreak/>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2055E3" w:rsidRDefault="00472387" w:rsidP="009819BB">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C5A4F1C"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A6DC837" w14:textId="77777777" w:rsidR="00E01CA2" w:rsidRPr="002055E3" w:rsidRDefault="00E01CA2" w:rsidP="00E01CA2">
            <w:pPr>
              <w:spacing w:before="0" w:after="0"/>
              <w:rPr>
                <w:rFonts w:ascii="Arial" w:hAnsi="Arial" w:cs="Arial"/>
                <w:b/>
                <w:color w:val="000000" w:themeColor="text1"/>
                <w:sz w:val="15"/>
                <w:szCs w:val="15"/>
              </w:rPr>
            </w:pPr>
          </w:p>
          <w:p w14:paraId="0F99C815" w14:textId="77777777" w:rsidR="00363A10" w:rsidRPr="002055E3" w:rsidRDefault="00363A10"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2055E3" w:rsidRDefault="00472387" w:rsidP="00F84A30">
            <w:pPr>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2055E3" w:rsidRDefault="00BB622B" w:rsidP="00F84A30">
            <w:pPr>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A97A16C"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34E8A780" w14:textId="77777777" w:rsidR="00E01CA2" w:rsidRPr="002055E3" w:rsidRDefault="00E01CA2" w:rsidP="00E01CA2">
            <w:pPr>
              <w:spacing w:before="0" w:after="0"/>
              <w:rPr>
                <w:rFonts w:ascii="Arial" w:hAnsi="Arial" w:cs="Arial"/>
                <w:b/>
                <w:color w:val="000000" w:themeColor="text1"/>
                <w:sz w:val="15"/>
                <w:szCs w:val="15"/>
              </w:rPr>
            </w:pPr>
          </w:p>
          <w:p w14:paraId="161870A6" w14:textId="77777777" w:rsidR="002C221E" w:rsidRPr="002055E3" w:rsidRDefault="002C221E"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Pr="002055E3" w:rsidRDefault="00472387"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D3594F"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FA51F9" w:rsidRDefault="00472387" w:rsidP="00E01CA2">
            <w:pPr>
              <w:spacing w:after="0"/>
              <w:rPr>
                <w:rFonts w:ascii="Arial" w:hAnsi="Arial" w:cs="Arial"/>
                <w:b/>
                <w:color w:val="000000" w:themeColor="text1"/>
                <w:sz w:val="15"/>
                <w:szCs w:val="15"/>
              </w:rPr>
            </w:pPr>
            <w:r w:rsidRPr="00FA51F9">
              <w:rPr>
                <w:rFonts w:ascii="Arial" w:hAnsi="Arial" w:cs="Arial"/>
                <w:b/>
                <w:color w:val="000000" w:themeColor="text1"/>
                <w:sz w:val="15"/>
                <w:szCs w:val="15"/>
              </w:rPr>
              <w:t>[</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D3594F"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77777777"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FA51F9" w:rsidRDefault="00472387"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w:t>
            </w:r>
            <w:r w:rsidR="00543E2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Sì [</w:t>
            </w:r>
            <w:r w:rsidR="00543E2A" w:rsidRPr="00FA51F9">
              <w:rPr>
                <w:rFonts w:ascii="Arial" w:hAnsi="Arial" w:cs="Arial"/>
                <w:b/>
                <w:color w:val="000000" w:themeColor="text1"/>
                <w:sz w:val="15"/>
                <w:szCs w:val="15"/>
              </w:rPr>
              <w:t xml:space="preserve"> </w:t>
            </w:r>
            <w:r w:rsidRPr="00FA51F9">
              <w:rPr>
                <w:rFonts w:ascii="Arial" w:hAnsi="Arial" w:cs="Arial"/>
                <w:b/>
                <w:color w:val="000000" w:themeColor="text1"/>
                <w:sz w:val="15"/>
                <w:szCs w:val="15"/>
              </w:rPr>
              <w:t>] No</w:t>
            </w:r>
          </w:p>
          <w:p w14:paraId="2E5AD35B" w14:textId="77777777" w:rsidR="008E5B2F" w:rsidRPr="00FA51F9" w:rsidRDefault="008E5B2F" w:rsidP="00E01CA2">
            <w:pPr>
              <w:spacing w:before="0" w:after="0"/>
              <w:rPr>
                <w:rFonts w:ascii="Arial" w:hAnsi="Arial" w:cs="Arial"/>
                <w:color w:val="000000" w:themeColor="text1"/>
                <w:sz w:val="15"/>
                <w:szCs w:val="15"/>
              </w:rPr>
            </w:pPr>
          </w:p>
          <w:p w14:paraId="655A3AA5" w14:textId="77777777" w:rsidR="00E01CA2" w:rsidRPr="00FA51F9" w:rsidRDefault="00E01CA2" w:rsidP="00E01CA2">
            <w:pPr>
              <w:spacing w:before="0" w:after="0"/>
              <w:rPr>
                <w:rFonts w:ascii="Arial" w:hAnsi="Arial" w:cs="Arial"/>
                <w:color w:val="000000" w:themeColor="text1"/>
                <w:sz w:val="15"/>
                <w:szCs w:val="15"/>
              </w:rPr>
            </w:pPr>
          </w:p>
          <w:p w14:paraId="5188C3AD" w14:textId="77777777" w:rsidR="00E01CA2" w:rsidRPr="00FA51F9" w:rsidRDefault="00E01CA2" w:rsidP="00E01CA2">
            <w:pPr>
              <w:spacing w:before="0" w:after="0"/>
              <w:rPr>
                <w:rFonts w:ascii="Arial" w:hAnsi="Arial" w:cs="Arial"/>
                <w:color w:val="000000" w:themeColor="text1"/>
                <w:sz w:val="15"/>
                <w:szCs w:val="15"/>
              </w:rPr>
            </w:pPr>
          </w:p>
          <w:p w14:paraId="5CC2FB90" w14:textId="77777777" w:rsidR="00CE049D" w:rsidRPr="00FA51F9" w:rsidRDefault="00CE049D"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FA51F9" w:rsidRDefault="008F7FC1" w:rsidP="00F84A30">
            <w:pPr>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w:t>
            </w:r>
            <w:proofErr w:type="spellStart"/>
            <w:r w:rsidR="00836B74" w:rsidRPr="009819BB">
              <w:rPr>
                <w:rFonts w:ascii="Arial" w:hAnsi="Arial" w:cs="Arial"/>
                <w:color w:val="000000" w:themeColor="text1"/>
                <w:sz w:val="15"/>
                <w:szCs w:val="15"/>
              </w:rPr>
              <w:t>interdittiva</w:t>
            </w:r>
            <w:proofErr w:type="spellEnd"/>
            <w:r w:rsidR="00836B74" w:rsidRPr="009819BB">
              <w:rPr>
                <w:rFonts w:ascii="Arial" w:hAnsi="Arial" w:cs="Arial"/>
                <w:color w:val="000000" w:themeColor="text1"/>
                <w:sz w:val="15"/>
                <w:szCs w:val="15"/>
              </w:rPr>
              <w:t xml:space="preserve"> di cui all'</w:t>
            </w:r>
            <w:hyperlink r:id="rId13"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9819BB">
              <w:rPr>
                <w:rFonts w:ascii="Arial" w:hAnsi="Arial" w:cs="Arial"/>
                <w:color w:val="000000" w:themeColor="text1"/>
                <w:sz w:val="15"/>
                <w:szCs w:val="15"/>
              </w:rPr>
              <w:t>interdittivi</w:t>
            </w:r>
            <w:proofErr w:type="spellEnd"/>
            <w:r w:rsidR="00836B74" w:rsidRPr="009819BB">
              <w:rPr>
                <w:rFonts w:ascii="Arial" w:hAnsi="Arial" w:cs="Arial"/>
                <w:color w:val="000000" w:themeColor="text1"/>
                <w:sz w:val="15"/>
                <w:szCs w:val="15"/>
              </w:rPr>
              <w:t xml:space="preserve"> di cui all'</w:t>
            </w:r>
            <w:hyperlink r:id="rId14"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3E1A07"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3E1A07">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3E1A07"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AD6ACF"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3E1A07">
              <w:rPr>
                <w:rStyle w:val="Collegamentoipertestuale"/>
                <w:rFonts w:ascii="Arial" w:eastAsiaTheme="majorEastAsia" w:hAnsi="Arial" w:cs="Arial"/>
                <w:color w:val="000000" w:themeColor="text1"/>
                <w:sz w:val="15"/>
                <w:szCs w:val="15"/>
                <w:u w:val="none"/>
              </w:rPr>
              <w:t>1ter è iscritto nel casellario informatico tenuto dall’Osservatorio dell’ANAC per aver presentato false dichiarazioni o falsa documentazione nelle procedure di gara e negli affidamenti di subappalti (Articolo 80, comma 5, lettera f ter)?</w:t>
            </w:r>
            <w:r w:rsidRPr="00AD6ACF">
              <w:rPr>
                <w:rStyle w:val="Collegamentoipertestuale"/>
                <w:rFonts w:ascii="Arial" w:eastAsiaTheme="majorEastAsia" w:hAnsi="Arial" w:cs="Arial"/>
                <w:color w:val="000000" w:themeColor="text1"/>
                <w:sz w:val="15"/>
                <w:szCs w:val="15"/>
                <w:u w:val="none"/>
              </w:rPr>
              <w:t xml:space="preserve"> </w:t>
            </w: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Pr="00FA51F9" w:rsidRDefault="008F7FC1"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r w:rsidR="00E01CA2" w:rsidRPr="00FA51F9">
              <w:rPr>
                <w:rFonts w:ascii="Arial" w:hAnsi="Arial" w:cs="Arial"/>
                <w:b/>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3430C959" w14:textId="77777777" w:rsidR="00FA51F9" w:rsidRPr="003E1A07" w:rsidRDefault="00FA51F9" w:rsidP="00FA51F9">
            <w:pPr>
              <w:spacing w:before="0" w:after="0"/>
              <w:rPr>
                <w:rFonts w:ascii="Arial" w:hAnsi="Arial" w:cs="Arial"/>
                <w:b/>
                <w:color w:val="000000" w:themeColor="text1"/>
                <w:sz w:val="15"/>
                <w:szCs w:val="15"/>
              </w:rPr>
            </w:pPr>
            <w:r w:rsidRPr="003E1A07">
              <w:rPr>
                <w:rFonts w:ascii="Arial" w:hAnsi="Arial" w:cs="Arial"/>
                <w:b/>
                <w:color w:val="000000" w:themeColor="text1"/>
                <w:sz w:val="15"/>
                <w:szCs w:val="15"/>
              </w:rPr>
              <w:t>[ ] Sì [ ] No</w:t>
            </w:r>
          </w:p>
          <w:p w14:paraId="4EA923F0" w14:textId="77777777" w:rsidR="00FA51F9" w:rsidRPr="003E1A07" w:rsidRDefault="00FA51F9" w:rsidP="00FA51F9">
            <w:pPr>
              <w:spacing w:before="0" w:after="0"/>
              <w:rPr>
                <w:rFonts w:ascii="Arial" w:hAnsi="Arial" w:cs="Arial"/>
                <w:color w:val="000000" w:themeColor="text1"/>
                <w:sz w:val="15"/>
                <w:szCs w:val="15"/>
              </w:rPr>
            </w:pPr>
          </w:p>
          <w:p w14:paraId="49D48867" w14:textId="77777777" w:rsidR="00FA51F9" w:rsidRPr="003E1A07" w:rsidRDefault="00FA51F9" w:rsidP="00FA51F9">
            <w:pPr>
              <w:spacing w:before="0" w:after="0"/>
              <w:rPr>
                <w:rFonts w:ascii="Arial" w:hAnsi="Arial" w:cs="Arial"/>
                <w:color w:val="000000" w:themeColor="text1"/>
                <w:sz w:val="15"/>
                <w:szCs w:val="15"/>
              </w:rPr>
            </w:pPr>
          </w:p>
          <w:p w14:paraId="7981A591" w14:textId="77777777" w:rsidR="00FA51F9" w:rsidRPr="003E1A07" w:rsidRDefault="00FA51F9" w:rsidP="00FA51F9">
            <w:pPr>
              <w:spacing w:before="0" w:after="0"/>
              <w:rPr>
                <w:rFonts w:ascii="Arial" w:hAnsi="Arial" w:cs="Arial"/>
                <w:color w:val="000000" w:themeColor="text1"/>
                <w:sz w:val="15"/>
                <w:szCs w:val="15"/>
              </w:rPr>
            </w:pPr>
          </w:p>
          <w:p w14:paraId="7DB996D2" w14:textId="77777777" w:rsidR="00FA51F9" w:rsidRPr="00EF6733" w:rsidRDefault="00FA51F9" w:rsidP="00FA51F9">
            <w:pPr>
              <w:spacing w:before="0" w:after="0"/>
              <w:rPr>
                <w:rFonts w:ascii="Arial" w:hAnsi="Arial" w:cs="Arial"/>
                <w:b/>
                <w:color w:val="000000" w:themeColor="text1"/>
                <w:sz w:val="15"/>
                <w:szCs w:val="15"/>
              </w:rPr>
            </w:pPr>
            <w:r w:rsidRPr="003E1A07">
              <w:rPr>
                <w:rFonts w:ascii="Arial" w:hAnsi="Arial" w:cs="Arial"/>
                <w:b/>
                <w:color w:val="000000" w:themeColor="text1"/>
                <w:sz w:val="15"/>
                <w:szCs w:val="15"/>
              </w:rPr>
              <w:t>[ ] Sì [ ] No</w:t>
            </w:r>
          </w:p>
          <w:p w14:paraId="6CCF2D42" w14:textId="77777777" w:rsidR="00E01CA2" w:rsidRDefault="00E01CA2" w:rsidP="00E01CA2">
            <w:pPr>
              <w:spacing w:before="0" w:after="0"/>
              <w:rPr>
                <w:rFonts w:ascii="Arial" w:hAnsi="Arial" w:cs="Arial"/>
                <w:color w:val="000000" w:themeColor="text1"/>
                <w:sz w:val="15"/>
                <w:szCs w:val="15"/>
              </w:rPr>
            </w:pPr>
          </w:p>
          <w:p w14:paraId="53DBECC0" w14:textId="77777777" w:rsidR="00FA51F9" w:rsidRDefault="00FA51F9" w:rsidP="00E01CA2">
            <w:pPr>
              <w:spacing w:before="0" w:after="0"/>
              <w:rPr>
                <w:rFonts w:ascii="Arial" w:hAnsi="Arial" w:cs="Arial"/>
                <w:color w:val="000000" w:themeColor="text1"/>
                <w:sz w:val="15"/>
                <w:szCs w:val="15"/>
              </w:rPr>
            </w:pPr>
          </w:p>
          <w:p w14:paraId="37166255" w14:textId="77777777" w:rsidR="00FA51F9" w:rsidRDefault="00FA51F9"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Pr="00FA51F9" w:rsidRDefault="00C3662B" w:rsidP="00E01CA2">
            <w:pPr>
              <w:spacing w:before="0" w:after="0"/>
              <w:rPr>
                <w:rFonts w:ascii="Arial" w:hAnsi="Arial" w:cs="Arial"/>
                <w:b/>
                <w:color w:val="000000" w:themeColor="text1"/>
                <w:sz w:val="15"/>
                <w:szCs w:val="15"/>
              </w:rPr>
            </w:pPr>
            <w:r w:rsidRPr="00FA51F9">
              <w:rPr>
                <w:rFonts w:ascii="Arial" w:hAnsi="Arial" w:cs="Arial"/>
                <w:b/>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Pr="002055E3" w:rsidRDefault="00C3662B"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Pr="002055E3" w:rsidRDefault="00E01CA2" w:rsidP="00E01CA2">
            <w:pPr>
              <w:spacing w:before="0" w:after="0"/>
              <w:rPr>
                <w:rFonts w:ascii="Arial" w:hAnsi="Arial" w:cs="Arial"/>
                <w:b/>
                <w:color w:val="000000" w:themeColor="text1"/>
                <w:sz w:val="15"/>
                <w:szCs w:val="15"/>
              </w:rPr>
            </w:pPr>
          </w:p>
          <w:p w14:paraId="0D0AE548" w14:textId="77777777" w:rsidR="00E01CA2" w:rsidRPr="002055E3" w:rsidRDefault="00FE00F5"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Pr="002055E3" w:rsidRDefault="00E01CA2" w:rsidP="00E01CA2">
            <w:pPr>
              <w:spacing w:before="0" w:after="0"/>
              <w:rPr>
                <w:rFonts w:ascii="Arial" w:hAnsi="Arial" w:cs="Arial"/>
                <w:b/>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2055E3">
              <w:rPr>
                <w:rFonts w:ascii="Arial" w:hAnsi="Arial" w:cs="Arial"/>
                <w:b/>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2055E3" w:rsidRDefault="00C45E28" w:rsidP="00E01CA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2055E3" w:rsidRDefault="003C4DA5" w:rsidP="00910862">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2055E3" w:rsidRDefault="002A35E7" w:rsidP="002A35E7">
            <w:pPr>
              <w:rPr>
                <w:rFonts w:ascii="Arial" w:hAnsi="Arial" w:cs="Arial"/>
                <w:b/>
                <w:color w:val="000000" w:themeColor="text1"/>
                <w:sz w:val="15"/>
                <w:szCs w:val="15"/>
              </w:rPr>
            </w:pPr>
            <w:r w:rsidRPr="002055E3">
              <w:rPr>
                <w:rFonts w:ascii="Arial" w:hAnsi="Arial" w:cs="Arial"/>
                <w:b/>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Pr="002055E3" w:rsidRDefault="00472387" w:rsidP="00E01CA2">
            <w:pPr>
              <w:spacing w:before="0" w:after="0"/>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3E5887"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3E5887"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CC3D62" w:rsidRPr="009819BB" w14:paraId="51C9DC50" w14:textId="77777777" w:rsidTr="003E5887">
        <w:trPr>
          <w:trHeight w:val="51"/>
        </w:trPr>
        <w:tc>
          <w:tcPr>
            <w:tcW w:w="4644" w:type="dxa"/>
            <w:shd w:val="clear" w:color="auto" w:fill="auto"/>
          </w:tcPr>
          <w:p w14:paraId="1037D747" w14:textId="4E074418" w:rsidR="00CC3D62" w:rsidRDefault="00CC3D62" w:rsidP="003E1A07">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t>Legame di dipendenza con i fornitori dei contratti da monitorare</w:t>
            </w:r>
          </w:p>
          <w:p w14:paraId="58A593BE" w14:textId="77777777" w:rsidR="00CC3D62" w:rsidRDefault="00CC3D62" w:rsidP="003E1A07">
            <w:pPr>
              <w:pStyle w:val="Paragrafoelenco"/>
              <w:tabs>
                <w:tab w:val="left" w:pos="284"/>
              </w:tabs>
              <w:spacing w:before="0" w:after="0"/>
              <w:ind w:left="284"/>
              <w:rPr>
                <w:rFonts w:ascii="Arial" w:hAnsi="Arial" w:cs="Arial"/>
                <w:color w:val="000000" w:themeColor="text1"/>
                <w:sz w:val="15"/>
                <w:szCs w:val="15"/>
              </w:rPr>
            </w:pPr>
          </w:p>
          <w:p w14:paraId="780A5EAA" w14:textId="06308107" w:rsidR="00CC3D62" w:rsidRDefault="00CC3D62" w:rsidP="003E1A07">
            <w:pPr>
              <w:pStyle w:val="Paragrafoelenco"/>
              <w:spacing w:before="0" w:after="0"/>
              <w:ind w:left="142"/>
              <w:rPr>
                <w:rFonts w:ascii="Arial" w:hAnsi="Arial" w:cs="Arial"/>
                <w:color w:val="000000" w:themeColor="text1"/>
                <w:sz w:val="15"/>
                <w:szCs w:val="15"/>
              </w:rPr>
            </w:pPr>
            <w:r w:rsidRPr="003E1A07">
              <w:rPr>
                <w:rFonts w:ascii="Arial" w:hAnsi="Arial" w:cs="Arial"/>
                <w:color w:val="000000" w:themeColor="text1"/>
                <w:sz w:val="15"/>
                <w:szCs w:val="15"/>
              </w:rPr>
              <w:t>L’operatore economico</w:t>
            </w:r>
            <w:r>
              <w:rPr>
                <w:rFonts w:ascii="Arial" w:hAnsi="Arial" w:cs="Arial"/>
                <w:color w:val="000000" w:themeColor="text1"/>
                <w:sz w:val="15"/>
                <w:szCs w:val="15"/>
              </w:rPr>
              <w:t>, in relazione ai fornitori dei contratti da monitorare come individuati nella documentazione di gara,</w:t>
            </w:r>
            <w:r w:rsidRPr="003E1A07">
              <w:rPr>
                <w:rFonts w:ascii="Arial" w:hAnsi="Arial" w:cs="Arial"/>
                <w:color w:val="000000" w:themeColor="text1"/>
                <w:sz w:val="15"/>
                <w:szCs w:val="15"/>
              </w:rPr>
              <w:t xml:space="preserve"> si trova in alcuna delle situazioni di incompatibilità previste</w:t>
            </w:r>
            <w:r>
              <w:rPr>
                <w:rFonts w:ascii="Arial" w:hAnsi="Arial" w:cs="Arial"/>
                <w:color w:val="000000" w:themeColor="text1"/>
                <w:sz w:val="15"/>
                <w:szCs w:val="15"/>
              </w:rPr>
              <w:t xml:space="preserve"> dal paragrafo 7, punto 6,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b)</w:t>
            </w:r>
            <w:r w:rsidR="00DE2E18">
              <w:rPr>
                <w:rFonts w:ascii="Arial" w:hAnsi="Arial" w:cs="Arial"/>
                <w:color w:val="000000" w:themeColor="text1"/>
                <w:sz w:val="15"/>
                <w:szCs w:val="15"/>
              </w:rPr>
              <w:t>,</w:t>
            </w:r>
            <w:r>
              <w:rPr>
                <w:rFonts w:ascii="Arial" w:hAnsi="Arial" w:cs="Arial"/>
                <w:color w:val="000000" w:themeColor="text1"/>
                <w:sz w:val="15"/>
                <w:szCs w:val="15"/>
              </w:rPr>
              <w:t xml:space="preserve"> della Circolare </w:t>
            </w:r>
            <w:proofErr w:type="spellStart"/>
            <w:r>
              <w:rPr>
                <w:rFonts w:ascii="Arial" w:hAnsi="Arial" w:cs="Arial"/>
                <w:color w:val="000000" w:themeColor="text1"/>
                <w:sz w:val="15"/>
                <w:szCs w:val="15"/>
              </w:rPr>
              <w:t>AgID</w:t>
            </w:r>
            <w:proofErr w:type="spellEnd"/>
            <w:r>
              <w:rPr>
                <w:rFonts w:ascii="Arial" w:hAnsi="Arial" w:cs="Arial"/>
                <w:color w:val="000000" w:themeColor="text1"/>
                <w:sz w:val="15"/>
                <w:szCs w:val="15"/>
              </w:rPr>
              <w:t xml:space="preserve"> n. 4 del 15 dicembre 2016?</w:t>
            </w:r>
          </w:p>
          <w:p w14:paraId="6321C001" w14:textId="77777777" w:rsidR="00CC3D62" w:rsidRDefault="00CC3D62" w:rsidP="003E1A07">
            <w:pPr>
              <w:pStyle w:val="Paragrafoelenco"/>
              <w:tabs>
                <w:tab w:val="left" w:pos="284"/>
              </w:tabs>
              <w:spacing w:before="0" w:after="0"/>
              <w:ind w:left="284"/>
              <w:rPr>
                <w:rFonts w:ascii="Arial" w:hAnsi="Arial" w:cs="Arial"/>
                <w:color w:val="000000" w:themeColor="text1"/>
                <w:sz w:val="15"/>
                <w:szCs w:val="15"/>
              </w:rPr>
            </w:pPr>
          </w:p>
          <w:p w14:paraId="125CEC2A" w14:textId="19A6519A" w:rsidR="00CC3D62" w:rsidRDefault="00CC3D62" w:rsidP="003E1A07">
            <w:pPr>
              <w:pStyle w:val="Paragrafoelenco"/>
              <w:spacing w:before="0" w:after="0"/>
              <w:ind w:left="142"/>
              <w:rPr>
                <w:rFonts w:ascii="Arial" w:hAnsi="Arial" w:cs="Arial"/>
                <w:color w:val="000000" w:themeColor="text1"/>
                <w:sz w:val="15"/>
                <w:szCs w:val="15"/>
              </w:rPr>
            </w:pPr>
            <w:r>
              <w:rPr>
                <w:rFonts w:ascii="Arial" w:hAnsi="Arial" w:cs="Arial"/>
                <w:color w:val="000000" w:themeColor="text1"/>
                <w:sz w:val="15"/>
                <w:szCs w:val="15"/>
              </w:rPr>
              <w:t>In particolare, si considera incompatibile:</w:t>
            </w:r>
          </w:p>
          <w:p w14:paraId="29C328E1" w14:textId="77777777" w:rsidR="00CC3D62" w:rsidRDefault="00CC3D62" w:rsidP="003E1A07">
            <w:pPr>
              <w:pStyle w:val="Paragrafoelenco"/>
              <w:numPr>
                <w:ilvl w:val="0"/>
                <w:numId w:val="28"/>
              </w:numPr>
              <w:spacing w:before="0" w:after="0"/>
              <w:ind w:left="426" w:hanging="141"/>
              <w:rPr>
                <w:rFonts w:ascii="Arial" w:hAnsi="Arial" w:cs="Arial"/>
                <w:color w:val="000000" w:themeColor="text1"/>
                <w:sz w:val="15"/>
                <w:szCs w:val="15"/>
              </w:rPr>
            </w:pPr>
            <w:r w:rsidRPr="003E1A07">
              <w:rPr>
                <w:rFonts w:ascii="Arial" w:hAnsi="Arial" w:cs="Arial"/>
                <w:color w:val="000000" w:themeColor="text1"/>
                <w:sz w:val="15"/>
                <w:szCs w:val="15"/>
              </w:rPr>
              <w:t xml:space="preserve">la società concorrente, o nel caso di Raggruppamenti di società, una delle società raggruppate, che ha partecipazioni, di qualsivoglia entità, in quella del fornitore o, nel caso in cui questo sia un Raggruppamento di società, in una qualsiasi delle società raggruppate; </w:t>
            </w:r>
          </w:p>
          <w:p w14:paraId="3CA2E542" w14:textId="77777777" w:rsidR="00CC3D62" w:rsidRDefault="00CC3D62" w:rsidP="003E1A07">
            <w:pPr>
              <w:pStyle w:val="Paragrafoelenco"/>
              <w:numPr>
                <w:ilvl w:val="0"/>
                <w:numId w:val="28"/>
              </w:numPr>
              <w:spacing w:before="0" w:after="0"/>
              <w:ind w:left="426" w:hanging="141"/>
              <w:rPr>
                <w:rFonts w:ascii="Arial" w:hAnsi="Arial" w:cs="Arial"/>
                <w:color w:val="000000" w:themeColor="text1"/>
                <w:sz w:val="15"/>
                <w:szCs w:val="15"/>
              </w:rPr>
            </w:pPr>
            <w:r w:rsidRPr="003E1A07">
              <w:rPr>
                <w:rFonts w:ascii="Arial" w:hAnsi="Arial" w:cs="Arial"/>
                <w:color w:val="000000" w:themeColor="text1"/>
                <w:sz w:val="15"/>
                <w:szCs w:val="15"/>
              </w:rPr>
              <w:t xml:space="preserve">la società concorrente, o nel caso di Raggruppamenti di società, una qualsiasi delle società raggruppate, che è partecipata in qualsivoglia misura dal fornitore o, nel caso in cui questo sia un Raggruppamento di società, da una qualsiasi delle società raggruppate; </w:t>
            </w:r>
          </w:p>
          <w:p w14:paraId="7C1BCE57" w14:textId="77777777" w:rsidR="00CC3D62" w:rsidRDefault="00CC3D62" w:rsidP="003E1A07">
            <w:pPr>
              <w:pStyle w:val="Paragrafoelenco"/>
              <w:numPr>
                <w:ilvl w:val="0"/>
                <w:numId w:val="28"/>
              </w:numPr>
              <w:spacing w:before="0" w:after="0"/>
              <w:ind w:left="426" w:hanging="141"/>
              <w:rPr>
                <w:rFonts w:ascii="Arial" w:hAnsi="Arial" w:cs="Arial"/>
                <w:color w:val="000000" w:themeColor="text1"/>
                <w:sz w:val="15"/>
                <w:szCs w:val="15"/>
              </w:rPr>
            </w:pPr>
            <w:r w:rsidRPr="003E1A07">
              <w:rPr>
                <w:rFonts w:ascii="Arial" w:hAnsi="Arial" w:cs="Arial"/>
                <w:color w:val="000000" w:themeColor="text1"/>
                <w:sz w:val="15"/>
                <w:szCs w:val="15"/>
              </w:rPr>
              <w:t xml:space="preserve">la società concorrente, o nel caso di Raggruppamenti di società, una qualsiasi delle società raggruppate, che è partecipata in qualsiasi misura da una società terza che, a sua volta, partecipa in qualsivoglia misura a quella del fornitore o, nel caso in cui questo sia un Raggruppamento </w:t>
            </w:r>
            <w:r w:rsidRPr="003E1A07">
              <w:rPr>
                <w:rFonts w:ascii="Arial" w:hAnsi="Arial" w:cs="Arial"/>
                <w:color w:val="000000" w:themeColor="text1"/>
                <w:sz w:val="15"/>
                <w:szCs w:val="15"/>
              </w:rPr>
              <w:lastRenderedPageBreak/>
              <w:t xml:space="preserve">di società, ad una qualsiasi delle società raggruppate; </w:t>
            </w:r>
          </w:p>
          <w:p w14:paraId="2B574538" w14:textId="79D0F1BD" w:rsidR="00CC3D62" w:rsidRPr="003E1A07" w:rsidRDefault="00CC3D62" w:rsidP="003E1A07">
            <w:pPr>
              <w:pStyle w:val="Paragrafoelenco"/>
              <w:numPr>
                <w:ilvl w:val="0"/>
                <w:numId w:val="28"/>
              </w:numPr>
              <w:spacing w:before="0" w:after="0"/>
              <w:ind w:left="426" w:hanging="141"/>
              <w:rPr>
                <w:rFonts w:ascii="Arial" w:hAnsi="Arial" w:cs="Arial"/>
                <w:color w:val="000000" w:themeColor="text1"/>
                <w:sz w:val="15"/>
                <w:szCs w:val="15"/>
              </w:rPr>
            </w:pPr>
            <w:r w:rsidRPr="003E1A07">
              <w:rPr>
                <w:rFonts w:ascii="Arial" w:hAnsi="Arial" w:cs="Arial"/>
                <w:color w:val="000000" w:themeColor="text1"/>
                <w:sz w:val="15"/>
                <w:szCs w:val="15"/>
              </w:rPr>
              <w:t>la società concorrente, o nel caso di Raggruppamenti di società, una qualsiasi delle società raggruppate, che svolge oppure ha svolto negli ultimi tre anni solari attività per il fornitore del contratto per valori superiori al 30% del proprio fatturato annuo</w:t>
            </w:r>
            <w:r>
              <w:rPr>
                <w:rFonts w:ascii="Arial" w:hAnsi="Arial" w:cs="Arial"/>
                <w:color w:val="000000" w:themeColor="text1"/>
                <w:sz w:val="15"/>
                <w:szCs w:val="15"/>
              </w:rPr>
              <w:t>.</w:t>
            </w:r>
          </w:p>
          <w:p w14:paraId="4CE28628" w14:textId="5862179D" w:rsidR="00CC3D62" w:rsidRPr="009819BB" w:rsidRDefault="00CC3D62" w:rsidP="003E1A07">
            <w:pPr>
              <w:pStyle w:val="Paragrafoelenco"/>
              <w:tabs>
                <w:tab w:val="left" w:pos="284"/>
              </w:tabs>
              <w:spacing w:before="0" w:after="0"/>
              <w:ind w:left="284"/>
              <w:rPr>
                <w:rFonts w:ascii="Arial" w:hAnsi="Arial" w:cs="Arial"/>
                <w:b/>
                <w:color w:val="000000" w:themeColor="text1"/>
                <w:sz w:val="15"/>
                <w:szCs w:val="15"/>
              </w:rPr>
            </w:pPr>
          </w:p>
        </w:tc>
        <w:tc>
          <w:tcPr>
            <w:tcW w:w="4645" w:type="dxa"/>
            <w:shd w:val="clear" w:color="auto" w:fill="auto"/>
          </w:tcPr>
          <w:p w14:paraId="5196B139" w14:textId="77777777" w:rsidR="00CC3D62" w:rsidRDefault="00CC3D62" w:rsidP="0083393F">
            <w:pPr>
              <w:spacing w:before="0" w:after="0"/>
              <w:rPr>
                <w:rFonts w:ascii="Arial" w:hAnsi="Arial" w:cs="Arial"/>
                <w:color w:val="000000" w:themeColor="text1"/>
                <w:w w:val="0"/>
                <w:sz w:val="15"/>
                <w:szCs w:val="15"/>
              </w:rPr>
            </w:pPr>
          </w:p>
          <w:p w14:paraId="1D19B452" w14:textId="77777777" w:rsidR="00CC3D62" w:rsidRDefault="00CC3D62" w:rsidP="0083393F">
            <w:pPr>
              <w:spacing w:before="0" w:after="0"/>
              <w:rPr>
                <w:rFonts w:ascii="Arial" w:hAnsi="Arial" w:cs="Arial"/>
                <w:color w:val="000000" w:themeColor="text1"/>
                <w:w w:val="0"/>
                <w:sz w:val="15"/>
                <w:szCs w:val="15"/>
              </w:rPr>
            </w:pPr>
          </w:p>
          <w:p w14:paraId="12200DE1" w14:textId="77777777" w:rsidR="00CC3D62" w:rsidRDefault="00CC3D62" w:rsidP="0083393F">
            <w:pPr>
              <w:spacing w:before="0" w:after="0"/>
              <w:rPr>
                <w:rFonts w:ascii="Arial" w:hAnsi="Arial" w:cs="Arial"/>
                <w:color w:val="000000" w:themeColor="text1"/>
                <w:w w:val="0"/>
                <w:sz w:val="15"/>
                <w:szCs w:val="15"/>
              </w:rPr>
            </w:pPr>
          </w:p>
          <w:p w14:paraId="7E2774BE" w14:textId="77777777" w:rsidR="00CC3D62" w:rsidRPr="002055E3" w:rsidRDefault="00CC3D62" w:rsidP="0083393F">
            <w:pPr>
              <w:spacing w:before="0" w:after="0"/>
              <w:rPr>
                <w:rFonts w:ascii="Arial" w:hAnsi="Arial" w:cs="Arial"/>
                <w:b/>
                <w:color w:val="000000" w:themeColor="text1"/>
                <w:w w:val="0"/>
                <w:sz w:val="15"/>
                <w:szCs w:val="15"/>
              </w:rPr>
            </w:pPr>
            <w:r w:rsidRPr="002055E3">
              <w:rPr>
                <w:rFonts w:ascii="Arial" w:hAnsi="Arial" w:cs="Arial"/>
                <w:b/>
                <w:color w:val="000000" w:themeColor="text1"/>
                <w:w w:val="0"/>
                <w:sz w:val="15"/>
                <w:szCs w:val="15"/>
              </w:rPr>
              <w:t>[ ] Sì [ ] No</w:t>
            </w:r>
          </w:p>
          <w:p w14:paraId="2941864C" w14:textId="15C1E6A9" w:rsidR="00CC3D62" w:rsidRDefault="00CC3D62" w:rsidP="00DE2E18">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r>
          </w:p>
        </w:tc>
      </w:tr>
      <w:tr w:rsidR="00DE2E18" w:rsidRPr="009819BB" w14:paraId="78AC975E" w14:textId="77777777" w:rsidTr="003E5887">
        <w:trPr>
          <w:trHeight w:val="51"/>
        </w:trPr>
        <w:tc>
          <w:tcPr>
            <w:tcW w:w="4644" w:type="dxa"/>
            <w:shd w:val="clear" w:color="auto" w:fill="auto"/>
          </w:tcPr>
          <w:p w14:paraId="26E99A5B" w14:textId="50E76358" w:rsidR="00DE2E18" w:rsidRDefault="00DE2E18"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Pr>
                <w:rFonts w:ascii="Arial" w:hAnsi="Arial" w:cs="Arial"/>
                <w:b/>
                <w:color w:val="000000" w:themeColor="text1"/>
                <w:sz w:val="15"/>
                <w:szCs w:val="15"/>
              </w:rPr>
              <w:lastRenderedPageBreak/>
              <w:t>Attività non marginale come fornitore di servizi ICT per clienti pubblici e privati</w:t>
            </w:r>
          </w:p>
          <w:p w14:paraId="643EF0FB" w14:textId="77777777" w:rsidR="00DE2E18" w:rsidRDefault="00DE2E18" w:rsidP="003E1A07">
            <w:pPr>
              <w:pStyle w:val="Paragrafoelenco"/>
              <w:tabs>
                <w:tab w:val="left" w:pos="284"/>
              </w:tabs>
              <w:spacing w:before="0" w:after="0"/>
              <w:ind w:left="284"/>
              <w:rPr>
                <w:rFonts w:ascii="Arial" w:hAnsi="Arial" w:cs="Arial"/>
                <w:b/>
                <w:color w:val="000000" w:themeColor="text1"/>
                <w:sz w:val="15"/>
                <w:szCs w:val="15"/>
              </w:rPr>
            </w:pPr>
          </w:p>
          <w:p w14:paraId="54AE8701" w14:textId="2657825A" w:rsidR="00DE2E18" w:rsidRDefault="00DE2E18" w:rsidP="00FB7AC2">
            <w:pPr>
              <w:pStyle w:val="Paragrafoelenco"/>
              <w:spacing w:before="0" w:after="0"/>
              <w:ind w:left="142"/>
              <w:rPr>
                <w:rFonts w:ascii="Arial" w:hAnsi="Arial" w:cs="Arial"/>
                <w:color w:val="000000" w:themeColor="text1"/>
                <w:sz w:val="15"/>
                <w:szCs w:val="15"/>
              </w:rPr>
            </w:pPr>
            <w:r w:rsidRPr="0083393F">
              <w:rPr>
                <w:rFonts w:ascii="Arial" w:hAnsi="Arial" w:cs="Arial"/>
                <w:color w:val="000000" w:themeColor="text1"/>
                <w:sz w:val="15"/>
                <w:szCs w:val="15"/>
              </w:rPr>
              <w:t>L’operatore economico</w:t>
            </w:r>
            <w:r>
              <w:rPr>
                <w:rFonts w:ascii="Arial" w:hAnsi="Arial" w:cs="Arial"/>
                <w:color w:val="000000" w:themeColor="text1"/>
                <w:sz w:val="15"/>
                <w:szCs w:val="15"/>
              </w:rPr>
              <w:t>, in relazione ai fornitori dei contratti da monitorare come individuati nella documentazione di gara,</w:t>
            </w:r>
            <w:r w:rsidRPr="0083393F">
              <w:rPr>
                <w:rFonts w:ascii="Arial" w:hAnsi="Arial" w:cs="Arial"/>
                <w:color w:val="000000" w:themeColor="text1"/>
                <w:sz w:val="15"/>
                <w:szCs w:val="15"/>
              </w:rPr>
              <w:t xml:space="preserve"> si trova in alcuna delle situazioni di incompatibilità previste</w:t>
            </w:r>
            <w:r>
              <w:rPr>
                <w:rFonts w:ascii="Arial" w:hAnsi="Arial" w:cs="Arial"/>
                <w:color w:val="000000" w:themeColor="text1"/>
                <w:sz w:val="15"/>
                <w:szCs w:val="15"/>
              </w:rPr>
              <w:t xml:space="preserve"> dal paragrafo 7, punto 7, della Circolare </w:t>
            </w:r>
            <w:proofErr w:type="spellStart"/>
            <w:r>
              <w:rPr>
                <w:rFonts w:ascii="Arial" w:hAnsi="Arial" w:cs="Arial"/>
                <w:color w:val="000000" w:themeColor="text1"/>
                <w:sz w:val="15"/>
                <w:szCs w:val="15"/>
              </w:rPr>
              <w:t>AgID</w:t>
            </w:r>
            <w:proofErr w:type="spellEnd"/>
            <w:r>
              <w:rPr>
                <w:rFonts w:ascii="Arial" w:hAnsi="Arial" w:cs="Arial"/>
                <w:color w:val="000000" w:themeColor="text1"/>
                <w:sz w:val="15"/>
                <w:szCs w:val="15"/>
              </w:rPr>
              <w:t xml:space="preserve"> n. 4 del 15 dicembre 2016?</w:t>
            </w:r>
          </w:p>
          <w:p w14:paraId="0DD2A437" w14:textId="77777777" w:rsidR="00DE2E18" w:rsidRDefault="00DE2E18" w:rsidP="00FB7AC2">
            <w:pPr>
              <w:pStyle w:val="Paragrafoelenco"/>
              <w:spacing w:before="0" w:after="0"/>
              <w:ind w:left="142"/>
              <w:rPr>
                <w:rFonts w:ascii="Arial" w:hAnsi="Arial" w:cs="Arial"/>
                <w:color w:val="000000" w:themeColor="text1"/>
                <w:sz w:val="15"/>
                <w:szCs w:val="15"/>
              </w:rPr>
            </w:pPr>
          </w:p>
          <w:p w14:paraId="700C7282" w14:textId="67545867" w:rsidR="00DE2E18" w:rsidRPr="003E1A07" w:rsidRDefault="00DE2E18" w:rsidP="003E1A07">
            <w:pPr>
              <w:pStyle w:val="Paragrafoelenco"/>
              <w:spacing w:before="0" w:after="0"/>
              <w:ind w:left="142"/>
              <w:rPr>
                <w:rFonts w:ascii="Arial" w:hAnsi="Arial" w:cs="Arial"/>
                <w:color w:val="000000" w:themeColor="text1"/>
                <w:sz w:val="15"/>
                <w:szCs w:val="15"/>
              </w:rPr>
            </w:pPr>
            <w:r>
              <w:rPr>
                <w:rFonts w:ascii="Arial" w:hAnsi="Arial" w:cs="Arial"/>
                <w:color w:val="000000" w:themeColor="text1"/>
                <w:sz w:val="15"/>
                <w:szCs w:val="15"/>
              </w:rPr>
              <w:t xml:space="preserve">In particolare, si considerano incompatibili </w:t>
            </w:r>
            <w:r w:rsidRPr="003E1A07">
              <w:rPr>
                <w:rFonts w:ascii="Arial" w:hAnsi="Arial" w:cs="Arial"/>
                <w:color w:val="000000" w:themeColor="text1"/>
                <w:sz w:val="15"/>
                <w:szCs w:val="15"/>
              </w:rPr>
              <w:t xml:space="preserve">le società che, in uno qualsiasi degli ultimi tre anni, abbiano svolto attività di sviluppo, manutenzione, customizzazione, assistenza o manutenzione hardware e software, fornitura di licenze o apparati hardware per un valore complessivo superiore al 30% di quello del proprio fatturato annuo (valori calcolati al netto di IVA) relativamente alla sola componente ICT. Ai fini del computo della soglia del 30%, si considerano tutte e sole le forniture di servizi ICT svolte nell’anno e quelle relative all’erogazione di servizi di forniture come sopra indicato. Sono escluse e non considerate ai fini del calcolo sopra indicato le attività compatibili con il monitoraggio come la consulenza finalizzata al monitoraggio dei contratti, le attività di </w:t>
            </w:r>
            <w:proofErr w:type="spellStart"/>
            <w:r w:rsidRPr="003E1A07">
              <w:rPr>
                <w:rFonts w:ascii="Arial" w:hAnsi="Arial" w:cs="Arial"/>
                <w:color w:val="000000" w:themeColor="text1"/>
                <w:sz w:val="15"/>
                <w:szCs w:val="15"/>
              </w:rPr>
              <w:t>project</w:t>
            </w:r>
            <w:proofErr w:type="spellEnd"/>
            <w:r w:rsidRPr="003E1A07">
              <w:rPr>
                <w:rFonts w:ascii="Arial" w:hAnsi="Arial" w:cs="Arial"/>
                <w:color w:val="000000" w:themeColor="text1"/>
                <w:sz w:val="15"/>
                <w:szCs w:val="15"/>
              </w:rPr>
              <w:t xml:space="preserve"> management, le attività di supporto alla predisposizione di atti di gara, le attività di verifica della qualità di servizi e forniture, la formazione.</w:t>
            </w:r>
          </w:p>
          <w:p w14:paraId="5C597C8F" w14:textId="77777777" w:rsidR="00DE2E18" w:rsidRDefault="00DE2E18" w:rsidP="00FB7AC2">
            <w:pPr>
              <w:pStyle w:val="Paragrafoelenco"/>
              <w:spacing w:before="0" w:after="0"/>
              <w:ind w:left="142"/>
              <w:rPr>
                <w:rFonts w:ascii="Arial" w:hAnsi="Arial" w:cs="Arial"/>
                <w:color w:val="000000" w:themeColor="text1"/>
                <w:sz w:val="15"/>
                <w:szCs w:val="15"/>
              </w:rPr>
            </w:pPr>
          </w:p>
          <w:p w14:paraId="08A263E4" w14:textId="0A21FB33" w:rsidR="00DE2E18" w:rsidRPr="003E1A07" w:rsidRDefault="00DE2E18" w:rsidP="003E1A07">
            <w:pPr>
              <w:pStyle w:val="Paragrafoelenco"/>
              <w:spacing w:before="0" w:after="0"/>
              <w:ind w:left="142"/>
              <w:rPr>
                <w:rFonts w:ascii="Arial" w:hAnsi="Arial" w:cs="Arial"/>
                <w:b/>
                <w:color w:val="000000" w:themeColor="text1"/>
                <w:sz w:val="15"/>
                <w:szCs w:val="15"/>
              </w:rPr>
            </w:pPr>
          </w:p>
        </w:tc>
        <w:tc>
          <w:tcPr>
            <w:tcW w:w="4645" w:type="dxa"/>
            <w:shd w:val="clear" w:color="auto" w:fill="auto"/>
          </w:tcPr>
          <w:p w14:paraId="0D331F84" w14:textId="77777777" w:rsidR="00DE2E18" w:rsidRDefault="00DE2E18" w:rsidP="0083393F">
            <w:pPr>
              <w:spacing w:before="0" w:after="0"/>
              <w:rPr>
                <w:rFonts w:ascii="Arial" w:hAnsi="Arial" w:cs="Arial"/>
                <w:color w:val="000000" w:themeColor="text1"/>
                <w:w w:val="0"/>
                <w:sz w:val="15"/>
                <w:szCs w:val="15"/>
              </w:rPr>
            </w:pPr>
          </w:p>
          <w:p w14:paraId="7D4CD4C1" w14:textId="77777777" w:rsidR="00DE2E18" w:rsidRDefault="00DE2E18" w:rsidP="0083393F">
            <w:pPr>
              <w:spacing w:before="0" w:after="0"/>
              <w:rPr>
                <w:rFonts w:ascii="Arial" w:hAnsi="Arial" w:cs="Arial"/>
                <w:color w:val="000000" w:themeColor="text1"/>
                <w:w w:val="0"/>
                <w:sz w:val="15"/>
                <w:szCs w:val="15"/>
              </w:rPr>
            </w:pPr>
          </w:p>
          <w:p w14:paraId="078AED19" w14:textId="77777777" w:rsidR="00DE2E18" w:rsidRDefault="00DE2E18" w:rsidP="0083393F">
            <w:pPr>
              <w:spacing w:before="0" w:after="0"/>
              <w:rPr>
                <w:rFonts w:ascii="Arial" w:hAnsi="Arial" w:cs="Arial"/>
                <w:color w:val="000000" w:themeColor="text1"/>
                <w:w w:val="0"/>
                <w:sz w:val="15"/>
                <w:szCs w:val="15"/>
              </w:rPr>
            </w:pPr>
          </w:p>
          <w:p w14:paraId="77B68AA8" w14:textId="77777777" w:rsidR="00DE2E18" w:rsidRPr="002055E3" w:rsidRDefault="00DE2E18" w:rsidP="0083393F">
            <w:pPr>
              <w:spacing w:before="0" w:after="0"/>
              <w:rPr>
                <w:rFonts w:ascii="Arial" w:hAnsi="Arial" w:cs="Arial"/>
                <w:b/>
                <w:color w:val="000000" w:themeColor="text1"/>
                <w:w w:val="0"/>
                <w:sz w:val="15"/>
                <w:szCs w:val="15"/>
              </w:rPr>
            </w:pPr>
            <w:r w:rsidRPr="002055E3">
              <w:rPr>
                <w:rFonts w:ascii="Arial" w:hAnsi="Arial" w:cs="Arial"/>
                <w:b/>
                <w:color w:val="000000" w:themeColor="text1"/>
                <w:w w:val="0"/>
                <w:sz w:val="15"/>
                <w:szCs w:val="15"/>
              </w:rPr>
              <w:t>[ ] Sì [ ] No</w:t>
            </w:r>
          </w:p>
          <w:p w14:paraId="58DEDC0C" w14:textId="30F2402D" w:rsidR="00DE2E18" w:rsidRDefault="00DE2E18"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br/>
            </w:r>
            <w:r w:rsidRPr="002055E3">
              <w:rPr>
                <w:rFonts w:ascii="Arial" w:hAnsi="Arial" w:cs="Arial"/>
                <w:b/>
                <w:color w:val="000000" w:themeColor="text1"/>
                <w:sz w:val="15"/>
                <w:szCs w:val="15"/>
              </w:rPr>
              <w:br/>
            </w:r>
          </w:p>
          <w:p w14:paraId="07C4A40C" w14:textId="77777777" w:rsidR="00472387"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br/>
              <w:t>[</w:t>
            </w:r>
            <w:r w:rsidR="00A2757B"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A2757B"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78BD6872" w14:textId="77777777" w:rsidR="00E001D0" w:rsidRPr="002055E3" w:rsidRDefault="00E001D0" w:rsidP="00E001D0">
            <w:pPr>
              <w:spacing w:before="0" w:after="0"/>
              <w:rPr>
                <w:rFonts w:ascii="Arial" w:hAnsi="Arial" w:cs="Arial"/>
                <w:b/>
                <w:color w:val="000000" w:themeColor="text1"/>
                <w:sz w:val="15"/>
                <w:szCs w:val="15"/>
              </w:rPr>
            </w:pPr>
          </w:p>
          <w:p w14:paraId="4909279D" w14:textId="77777777" w:rsidR="00644C68" w:rsidRPr="002055E3" w:rsidRDefault="00644C68" w:rsidP="00E001D0">
            <w:pPr>
              <w:spacing w:before="0" w:after="0"/>
              <w:rPr>
                <w:rFonts w:ascii="Arial" w:hAnsi="Arial" w:cs="Arial"/>
                <w:b/>
                <w:color w:val="000000" w:themeColor="text1"/>
                <w:sz w:val="15"/>
                <w:szCs w:val="15"/>
              </w:rPr>
            </w:pPr>
          </w:p>
          <w:p w14:paraId="5D0FD3B0" w14:textId="77777777" w:rsidR="00E001D0" w:rsidRPr="002055E3" w:rsidRDefault="00E001D0" w:rsidP="00E001D0">
            <w:pPr>
              <w:spacing w:before="0" w:after="0"/>
              <w:rPr>
                <w:rFonts w:ascii="Arial" w:hAnsi="Arial" w:cs="Arial"/>
                <w:b/>
                <w:color w:val="000000" w:themeColor="text1"/>
                <w:sz w:val="15"/>
                <w:szCs w:val="15"/>
              </w:rPr>
            </w:pPr>
          </w:p>
          <w:p w14:paraId="7C94B01A" w14:textId="77777777" w:rsidR="00E001D0" w:rsidRPr="002055E3" w:rsidRDefault="00E001D0" w:rsidP="00E001D0">
            <w:pPr>
              <w:spacing w:before="0" w:after="0"/>
              <w:rPr>
                <w:rFonts w:ascii="Arial" w:hAnsi="Arial" w:cs="Arial"/>
                <w:b/>
                <w:color w:val="000000" w:themeColor="text1"/>
                <w:sz w:val="15"/>
                <w:szCs w:val="15"/>
              </w:rPr>
            </w:pPr>
          </w:p>
          <w:p w14:paraId="103586D6" w14:textId="155CCE69" w:rsidR="00644C68"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Pr="002055E3" w:rsidRDefault="00472387" w:rsidP="00F84A3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852D81"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2055E3" w:rsidRDefault="00472387" w:rsidP="00F84A30">
            <w:pPr>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2055E3" w:rsidRDefault="00472387" w:rsidP="00F84A30">
            <w:pPr>
              <w:rPr>
                <w:rFonts w:ascii="Arial" w:hAnsi="Arial" w:cs="Arial"/>
                <w:b/>
                <w:color w:val="000000" w:themeColor="text1"/>
                <w:w w:val="0"/>
                <w:sz w:val="15"/>
                <w:szCs w:val="15"/>
              </w:rPr>
            </w:pPr>
            <w:r w:rsidRPr="002055E3">
              <w:rPr>
                <w:rFonts w:ascii="Arial" w:hAnsi="Arial" w:cs="Arial"/>
                <w:b/>
                <w:color w:val="000000" w:themeColor="text1"/>
                <w:w w:val="0"/>
                <w:sz w:val="15"/>
                <w:szCs w:val="15"/>
              </w:rPr>
              <w:t>[</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Sì [</w:t>
            </w:r>
            <w:r w:rsidR="002C6910" w:rsidRPr="002055E3">
              <w:rPr>
                <w:rFonts w:ascii="Arial" w:hAnsi="Arial" w:cs="Arial"/>
                <w:b/>
                <w:color w:val="000000" w:themeColor="text1"/>
                <w:w w:val="0"/>
                <w:sz w:val="15"/>
                <w:szCs w:val="15"/>
              </w:rPr>
              <w:t xml:space="preserve"> </w:t>
            </w:r>
            <w:r w:rsidRPr="002055E3">
              <w:rPr>
                <w:rFonts w:ascii="Arial" w:hAnsi="Arial" w:cs="Arial"/>
                <w:b/>
                <w:color w:val="000000" w:themeColor="text1"/>
                <w:w w:val="0"/>
                <w:sz w:val="15"/>
                <w:szCs w:val="15"/>
              </w:rPr>
              <w:t>] No</w:t>
            </w:r>
            <w:r w:rsidR="009E3339" w:rsidRPr="002055E3">
              <w:rPr>
                <w:rFonts w:ascii="Arial" w:hAnsi="Arial" w:cs="Arial"/>
                <w:b/>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Pr="002055E3" w:rsidRDefault="00472387" w:rsidP="00E001D0">
            <w:pPr>
              <w:spacing w:before="0" w:after="0"/>
              <w:rPr>
                <w:rFonts w:ascii="Arial" w:hAnsi="Arial" w:cs="Arial"/>
                <w:b/>
                <w:color w:val="000000" w:themeColor="text1"/>
                <w:sz w:val="15"/>
                <w:szCs w:val="15"/>
              </w:rPr>
            </w:pPr>
            <w:r w:rsidRPr="002055E3">
              <w:rPr>
                <w:rFonts w:ascii="Arial" w:hAnsi="Arial" w:cs="Arial"/>
                <w:b/>
                <w:color w:val="000000" w:themeColor="text1"/>
                <w:sz w:val="15"/>
                <w:szCs w:val="15"/>
              </w:rPr>
              <w:t>[</w:t>
            </w:r>
            <w:r w:rsidR="005426D4"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Sì [</w:t>
            </w:r>
            <w:r w:rsidR="005426D4" w:rsidRPr="002055E3">
              <w:rPr>
                <w:rFonts w:ascii="Arial" w:hAnsi="Arial" w:cs="Arial"/>
                <w:b/>
                <w:color w:val="000000" w:themeColor="text1"/>
                <w:sz w:val="15"/>
                <w:szCs w:val="15"/>
              </w:rPr>
              <w:t xml:space="preserve"> </w:t>
            </w:r>
            <w:r w:rsidRPr="002055E3">
              <w:rPr>
                <w:rFonts w:ascii="Arial" w:hAnsi="Arial" w:cs="Arial"/>
                <w:b/>
                <w:color w:val="000000" w:themeColor="text1"/>
                <w:sz w:val="15"/>
                <w:szCs w:val="15"/>
              </w:rPr>
              <w:t>] No</w:t>
            </w:r>
            <w:r w:rsidR="00A2757B" w:rsidRPr="002055E3">
              <w:rPr>
                <w:rFonts w:ascii="Arial" w:hAnsi="Arial" w:cs="Arial"/>
                <w:b/>
                <w:color w:val="000000" w:themeColor="text1"/>
                <w:sz w:val="15"/>
                <w:szCs w:val="15"/>
              </w:rPr>
              <w:t xml:space="preserve"> (</w:t>
            </w:r>
            <w:r w:rsidRPr="002055E3">
              <w:rPr>
                <w:rStyle w:val="Rimandonotaapidipagina"/>
                <w:rFonts w:ascii="Arial" w:hAnsi="Arial" w:cs="Arial"/>
                <w:b/>
                <w:color w:val="000000" w:themeColor="text1"/>
                <w:sz w:val="15"/>
                <w:szCs w:val="15"/>
              </w:rPr>
              <w:footnoteReference w:id="40"/>
            </w:r>
            <w:r w:rsidR="00A2757B" w:rsidRPr="002055E3">
              <w:rPr>
                <w:rFonts w:ascii="Arial" w:hAnsi="Arial" w:cs="Arial"/>
                <w:b/>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51E0A" w14:textId="77777777" w:rsidR="008A7532" w:rsidRDefault="008A7532" w:rsidP="00472387">
      <w:pPr>
        <w:spacing w:before="0" w:after="0"/>
      </w:pPr>
      <w:r>
        <w:separator/>
      </w:r>
    </w:p>
  </w:endnote>
  <w:endnote w:type="continuationSeparator" w:id="0">
    <w:p w14:paraId="1FFA360B" w14:textId="77777777" w:rsidR="008A7532" w:rsidRDefault="008A7532" w:rsidP="00472387">
      <w:pPr>
        <w:spacing w:before="0" w:after="0"/>
      </w:pPr>
      <w:r>
        <w:continuationSeparator/>
      </w:r>
    </w:p>
  </w:endnote>
  <w:endnote w:type="continuationNotice" w:id="1">
    <w:p w14:paraId="2F64F410" w14:textId="77777777" w:rsidR="008A7532" w:rsidRDefault="008A753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iryo">
    <w:panose1 w:val="020B0604030504040204"/>
    <w:charset w:val="80"/>
    <w:family w:val="swiss"/>
    <w:pitch w:val="variable"/>
    <w:sig w:usb0="E10102FF" w:usb1="EAC7FFFF" w:usb2="0001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437AA8" w:rsidRDefault="00437AA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437AA8" w:rsidRDefault="00437AA8">
        <w:pPr>
          <w:pStyle w:val="Pidipagina"/>
          <w:jc w:val="right"/>
        </w:pPr>
        <w:r>
          <w:fldChar w:fldCharType="begin"/>
        </w:r>
        <w:r>
          <w:instrText>PAGE   \* MERGEFORMAT</w:instrText>
        </w:r>
        <w:r>
          <w:fldChar w:fldCharType="separate"/>
        </w:r>
        <w:r w:rsidR="00A625B3">
          <w:rPr>
            <w:noProof/>
          </w:rPr>
          <w:t>3</w:t>
        </w:r>
        <w:r>
          <w:fldChar w:fldCharType="end"/>
        </w:r>
      </w:p>
    </w:sdtContent>
  </w:sdt>
  <w:p w14:paraId="3D4AF41F" w14:textId="77777777" w:rsidR="00437AA8" w:rsidRDefault="00437AA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437AA8" w:rsidRDefault="00437A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A6FEE" w14:textId="77777777" w:rsidR="008A7532" w:rsidRDefault="008A7532" w:rsidP="00472387">
      <w:pPr>
        <w:spacing w:before="0" w:after="0"/>
      </w:pPr>
      <w:r>
        <w:separator/>
      </w:r>
    </w:p>
  </w:footnote>
  <w:footnote w:type="continuationSeparator" w:id="0">
    <w:p w14:paraId="47C48B73" w14:textId="77777777" w:rsidR="008A7532" w:rsidRDefault="008A7532" w:rsidP="00472387">
      <w:pPr>
        <w:spacing w:before="0" w:after="0"/>
      </w:pPr>
      <w:r>
        <w:continuationSeparator/>
      </w:r>
    </w:p>
  </w:footnote>
  <w:footnote w:type="continuationNotice" w:id="1">
    <w:p w14:paraId="15C13BD5" w14:textId="77777777" w:rsidR="008A7532" w:rsidRDefault="008A7532">
      <w:pPr>
        <w:spacing w:before="0" w:after="0"/>
      </w:pPr>
    </w:p>
  </w:footnote>
  <w:footnote w:id="2">
    <w:p w14:paraId="3FA6AE1E" w14:textId="77777777" w:rsidR="00437AA8" w:rsidRPr="000022F9" w:rsidRDefault="00437AA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437AA8" w:rsidRPr="000022F9" w:rsidRDefault="00437AA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437AA8" w:rsidRPr="000022F9" w:rsidRDefault="00437AA8"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437AA8" w:rsidRPr="000022F9" w:rsidRDefault="00437AA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437AA8" w:rsidRPr="000022F9" w:rsidRDefault="00437AA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437AA8" w:rsidRPr="000022F9" w:rsidRDefault="00437AA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437AA8" w:rsidRPr="00DC6298" w:rsidRDefault="00437AA8"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437AA8" w:rsidRPr="00DC6298" w:rsidRDefault="00437AA8"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437AA8" w:rsidRPr="00DC6298" w:rsidRDefault="00437AA8"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437AA8" w:rsidRPr="00DC6298" w:rsidRDefault="00437AA8"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437AA8" w:rsidRPr="00DC6298" w:rsidRDefault="00437AA8"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437AA8" w:rsidRPr="00DC6298" w:rsidRDefault="00437AA8"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437AA8" w:rsidRPr="00157C69" w:rsidRDefault="00437AA8"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437AA8" w:rsidRPr="005D4886" w:rsidRDefault="00437AA8"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437AA8" w:rsidRPr="00B34FA7" w:rsidRDefault="00437AA8"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437AA8" w:rsidRPr="00FB3DFA" w:rsidRDefault="00437AA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437AA8" w:rsidRPr="00FB3DFA" w:rsidRDefault="00437AA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437AA8" w:rsidRPr="00FB3DFA" w:rsidRDefault="00437AA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437AA8" w:rsidRPr="00FB3DFA" w:rsidRDefault="00437AA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437AA8" w:rsidRPr="00FB3DFA" w:rsidRDefault="00437AA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437AA8" w:rsidRPr="00FB3DFA" w:rsidRDefault="00437AA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437AA8" w:rsidRPr="00CC2D89" w:rsidRDefault="00437AA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437AA8" w:rsidRPr="00CC2D89" w:rsidRDefault="00437AA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437AA8" w:rsidRPr="00FB3DFA" w:rsidRDefault="00437AA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437AA8" w:rsidRPr="004E115D" w:rsidRDefault="00437AA8"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437AA8" w:rsidRPr="00A96CE8" w:rsidRDefault="00437AA8"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437AA8" w:rsidRPr="00564D5B" w:rsidRDefault="00437AA8"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437AA8" w:rsidRPr="003826FB" w:rsidRDefault="00437AA8"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437AA8" w:rsidRPr="003826FB" w:rsidRDefault="00437AA8"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437AA8" w:rsidRPr="00CC2D89" w:rsidRDefault="00437AA8"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437AA8" w:rsidRPr="00A96CE8" w:rsidRDefault="00437AA8"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437AA8" w:rsidRPr="008C4DD1" w:rsidRDefault="00437AA8"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437AA8" w:rsidRPr="008C4DD1" w:rsidRDefault="00437AA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437AA8" w:rsidRPr="008C4DD1" w:rsidRDefault="00437AA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437AA8" w:rsidRPr="008C4DD1" w:rsidRDefault="00437AA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437AA8" w:rsidRPr="008C4DD1" w:rsidRDefault="00437AA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437AA8" w:rsidRPr="008C4DD1" w:rsidRDefault="00437AA8"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437AA8" w:rsidRPr="008C4DD1" w:rsidRDefault="00437AA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437AA8" w:rsidRPr="008C4DD1" w:rsidRDefault="00437AA8"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437AA8" w:rsidRPr="008C4DD1" w:rsidRDefault="00437AA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437AA8" w:rsidRPr="008C4DD1" w:rsidRDefault="00437AA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437AA8" w:rsidRPr="001F7093" w:rsidRDefault="00437AA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437AA8" w:rsidRPr="001F7093" w:rsidRDefault="00437AA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437AA8" w:rsidRPr="001F7093" w:rsidRDefault="00437AA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437AA8" w:rsidRPr="001F7093" w:rsidRDefault="00437AA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437AA8" w:rsidRPr="00A96CE8" w:rsidRDefault="00437AA8"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437AA8" w:rsidRDefault="00437AA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437AA8" w:rsidRDefault="00437AA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437AA8" w:rsidRDefault="00437AA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C31AFF"/>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D27B51"/>
    <w:multiLevelType w:val="hybridMultilevel"/>
    <w:tmpl w:val="A5BC86C2"/>
    <w:lvl w:ilvl="0" w:tplc="1A5A6FD2">
      <w:start w:val="1"/>
      <w:numFmt w:val="bullet"/>
      <w:lvlText w:val="□"/>
      <w:lvlJc w:val="left"/>
      <w:pPr>
        <w:ind w:left="1249" w:hanging="360"/>
      </w:pPr>
      <w:rPr>
        <w:rFonts w:ascii="Meiryo" w:eastAsia="Meiryo" w:hAnsi="Meiryo" w:hint="default"/>
        <w:color w:val="231F20"/>
        <w:sz w:val="18"/>
        <w:szCs w:val="18"/>
      </w:rPr>
    </w:lvl>
    <w:lvl w:ilvl="1" w:tplc="04100003" w:tentative="1">
      <w:start w:val="1"/>
      <w:numFmt w:val="bullet"/>
      <w:lvlText w:val="o"/>
      <w:lvlJc w:val="left"/>
      <w:pPr>
        <w:ind w:left="1969" w:hanging="360"/>
      </w:pPr>
      <w:rPr>
        <w:rFonts w:ascii="Courier New" w:hAnsi="Courier New" w:cs="Courier New" w:hint="default"/>
      </w:rPr>
    </w:lvl>
    <w:lvl w:ilvl="2" w:tplc="04100005" w:tentative="1">
      <w:start w:val="1"/>
      <w:numFmt w:val="bullet"/>
      <w:lvlText w:val=""/>
      <w:lvlJc w:val="left"/>
      <w:pPr>
        <w:ind w:left="2689" w:hanging="360"/>
      </w:pPr>
      <w:rPr>
        <w:rFonts w:ascii="Wingdings" w:hAnsi="Wingdings" w:hint="default"/>
      </w:rPr>
    </w:lvl>
    <w:lvl w:ilvl="3" w:tplc="04100001" w:tentative="1">
      <w:start w:val="1"/>
      <w:numFmt w:val="bullet"/>
      <w:lvlText w:val=""/>
      <w:lvlJc w:val="left"/>
      <w:pPr>
        <w:ind w:left="3409" w:hanging="360"/>
      </w:pPr>
      <w:rPr>
        <w:rFonts w:ascii="Symbol" w:hAnsi="Symbol" w:hint="default"/>
      </w:rPr>
    </w:lvl>
    <w:lvl w:ilvl="4" w:tplc="04100003" w:tentative="1">
      <w:start w:val="1"/>
      <w:numFmt w:val="bullet"/>
      <w:lvlText w:val="o"/>
      <w:lvlJc w:val="left"/>
      <w:pPr>
        <w:ind w:left="4129" w:hanging="360"/>
      </w:pPr>
      <w:rPr>
        <w:rFonts w:ascii="Courier New" w:hAnsi="Courier New" w:cs="Courier New" w:hint="default"/>
      </w:rPr>
    </w:lvl>
    <w:lvl w:ilvl="5" w:tplc="04100005" w:tentative="1">
      <w:start w:val="1"/>
      <w:numFmt w:val="bullet"/>
      <w:lvlText w:val=""/>
      <w:lvlJc w:val="left"/>
      <w:pPr>
        <w:ind w:left="4849" w:hanging="360"/>
      </w:pPr>
      <w:rPr>
        <w:rFonts w:ascii="Wingdings" w:hAnsi="Wingdings" w:hint="default"/>
      </w:rPr>
    </w:lvl>
    <w:lvl w:ilvl="6" w:tplc="04100001" w:tentative="1">
      <w:start w:val="1"/>
      <w:numFmt w:val="bullet"/>
      <w:lvlText w:val=""/>
      <w:lvlJc w:val="left"/>
      <w:pPr>
        <w:ind w:left="5569" w:hanging="360"/>
      </w:pPr>
      <w:rPr>
        <w:rFonts w:ascii="Symbol" w:hAnsi="Symbol" w:hint="default"/>
      </w:rPr>
    </w:lvl>
    <w:lvl w:ilvl="7" w:tplc="04100003" w:tentative="1">
      <w:start w:val="1"/>
      <w:numFmt w:val="bullet"/>
      <w:lvlText w:val="o"/>
      <w:lvlJc w:val="left"/>
      <w:pPr>
        <w:ind w:left="6289" w:hanging="360"/>
      </w:pPr>
      <w:rPr>
        <w:rFonts w:ascii="Courier New" w:hAnsi="Courier New" w:cs="Courier New" w:hint="default"/>
      </w:rPr>
    </w:lvl>
    <w:lvl w:ilvl="8" w:tplc="04100005" w:tentative="1">
      <w:start w:val="1"/>
      <w:numFmt w:val="bullet"/>
      <w:lvlText w:val=""/>
      <w:lvlJc w:val="left"/>
      <w:pPr>
        <w:ind w:left="7009" w:hanging="360"/>
      </w:pPr>
      <w:rPr>
        <w:rFonts w:ascii="Wingdings" w:hAnsi="Wingdings" w:hint="default"/>
      </w:r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D2A568D"/>
    <w:multiLevelType w:val="hybridMultilevel"/>
    <w:tmpl w:val="060C62BE"/>
    <w:lvl w:ilvl="0" w:tplc="116C9D8E">
      <w:start w:val="1"/>
      <w:numFmt w:val="lowerLetter"/>
      <w:lvlText w:val="%1)"/>
      <w:lvlJc w:val="left"/>
      <w:pPr>
        <w:ind w:left="502" w:hanging="360"/>
      </w:pPr>
      <w:rPr>
        <w:rFonts w:hint="default"/>
      </w:rPr>
    </w:lvl>
    <w:lvl w:ilvl="1" w:tplc="0410000F">
      <w:start w:val="1"/>
      <w:numFmt w:val="decimal"/>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3FE23E0"/>
    <w:multiLevelType w:val="hybridMultilevel"/>
    <w:tmpl w:val="2474E0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2">
    <w:nsid w:val="5E192A4B"/>
    <w:multiLevelType w:val="hybridMultilevel"/>
    <w:tmpl w:val="EA160EEA"/>
    <w:lvl w:ilvl="0" w:tplc="49CC8208">
      <w:start w:val="1"/>
      <w:numFmt w:val="decimal"/>
      <w:lvlText w:val="%1)"/>
      <w:lvlJc w:val="left"/>
      <w:pPr>
        <w:ind w:left="644" w:hanging="360"/>
      </w:pPr>
      <w:rPr>
        <w:rFonts w:hint="default"/>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9"/>
  </w:num>
  <w:num w:numId="3">
    <w:abstractNumId w:val="18"/>
  </w:num>
  <w:num w:numId="4">
    <w:abstractNumId w:val="23"/>
  </w:num>
  <w:num w:numId="5">
    <w:abstractNumId w:val="10"/>
  </w:num>
  <w:num w:numId="6">
    <w:abstractNumId w:val="3"/>
  </w:num>
  <w:num w:numId="7">
    <w:abstractNumId w:val="20"/>
  </w:num>
  <w:num w:numId="8">
    <w:abstractNumId w:val="29"/>
  </w:num>
  <w:num w:numId="9">
    <w:abstractNumId w:val="1"/>
  </w:num>
  <w:num w:numId="10">
    <w:abstractNumId w:val="24"/>
  </w:num>
  <w:num w:numId="11">
    <w:abstractNumId w:val="14"/>
  </w:num>
  <w:num w:numId="12">
    <w:abstractNumId w:val="26"/>
  </w:num>
  <w:num w:numId="13">
    <w:abstractNumId w:val="11"/>
  </w:num>
  <w:num w:numId="14">
    <w:abstractNumId w:val="16"/>
  </w:num>
  <w:num w:numId="15">
    <w:abstractNumId w:val="2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num>
  <w:num w:numId="18">
    <w:abstractNumId w:val="21"/>
    <w:lvlOverride w:ilvl="0">
      <w:startOverride w:val="1"/>
    </w:lvlOverride>
  </w:num>
  <w:num w:numId="19">
    <w:abstractNumId w:val="7"/>
  </w:num>
  <w:num w:numId="20">
    <w:abstractNumId w:val="25"/>
  </w:num>
  <w:num w:numId="21">
    <w:abstractNumId w:val="2"/>
  </w:num>
  <w:num w:numId="22">
    <w:abstractNumId w:val="28"/>
  </w:num>
  <w:num w:numId="23">
    <w:abstractNumId w:val="0"/>
  </w:num>
  <w:num w:numId="24">
    <w:abstractNumId w:val="17"/>
  </w:num>
  <w:num w:numId="25">
    <w:abstractNumId w:val="5"/>
  </w:num>
  <w:num w:numId="26">
    <w:abstractNumId w:val="6"/>
  </w:num>
  <w:num w:numId="27">
    <w:abstractNumId w:val="12"/>
  </w:num>
  <w:num w:numId="28">
    <w:abstractNumId w:val="15"/>
  </w:num>
  <w:num w:numId="29">
    <w:abstractNumId w:val="22"/>
  </w:num>
  <w:num w:numId="30">
    <w:abstractNumId w:val="4"/>
  </w:num>
  <w:num w:numId="31">
    <w:abstractNumId w:val="8"/>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removePersonalInformation/>
  <w:proofState w:spelling="clean"/>
  <w:trackRevisions/>
  <w:defaultTabStop w:val="709"/>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307F"/>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45DE8"/>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D75AA"/>
    <w:rsid w:val="003E1A07"/>
    <w:rsid w:val="003E2324"/>
    <w:rsid w:val="003E301A"/>
    <w:rsid w:val="003E3541"/>
    <w:rsid w:val="003E5887"/>
    <w:rsid w:val="003F025E"/>
    <w:rsid w:val="0040275F"/>
    <w:rsid w:val="00404A1A"/>
    <w:rsid w:val="00410401"/>
    <w:rsid w:val="00422AA4"/>
    <w:rsid w:val="004255A6"/>
    <w:rsid w:val="004344D5"/>
    <w:rsid w:val="00434ECD"/>
    <w:rsid w:val="00437AA8"/>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241"/>
    <w:rsid w:val="00774E38"/>
    <w:rsid w:val="007826DF"/>
    <w:rsid w:val="00787F4B"/>
    <w:rsid w:val="007950CB"/>
    <w:rsid w:val="00797A06"/>
    <w:rsid w:val="007A4101"/>
    <w:rsid w:val="007A4825"/>
    <w:rsid w:val="007A5F14"/>
    <w:rsid w:val="007B00CA"/>
    <w:rsid w:val="007B7490"/>
    <w:rsid w:val="007D183E"/>
    <w:rsid w:val="007D19C8"/>
    <w:rsid w:val="007D4AB2"/>
    <w:rsid w:val="00802A00"/>
    <w:rsid w:val="00803E0F"/>
    <w:rsid w:val="008049C8"/>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A7532"/>
    <w:rsid w:val="008B18DB"/>
    <w:rsid w:val="008B2A0D"/>
    <w:rsid w:val="008C4DD1"/>
    <w:rsid w:val="008D2EC8"/>
    <w:rsid w:val="008D7B57"/>
    <w:rsid w:val="008E5B2F"/>
    <w:rsid w:val="008E66F3"/>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D3B8A"/>
    <w:rsid w:val="009E3339"/>
    <w:rsid w:val="009F1423"/>
    <w:rsid w:val="009F5329"/>
    <w:rsid w:val="009F5F5E"/>
    <w:rsid w:val="00A01B04"/>
    <w:rsid w:val="00A0355B"/>
    <w:rsid w:val="00A24608"/>
    <w:rsid w:val="00A2757B"/>
    <w:rsid w:val="00A3053F"/>
    <w:rsid w:val="00A32D03"/>
    <w:rsid w:val="00A36F79"/>
    <w:rsid w:val="00A5174D"/>
    <w:rsid w:val="00A536D1"/>
    <w:rsid w:val="00A625B3"/>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7A0"/>
    <w:rsid w:val="00B34FA7"/>
    <w:rsid w:val="00B41E47"/>
    <w:rsid w:val="00B434F5"/>
    <w:rsid w:val="00B46A18"/>
    <w:rsid w:val="00B531B4"/>
    <w:rsid w:val="00B5678F"/>
    <w:rsid w:val="00B62EBD"/>
    <w:rsid w:val="00B639B7"/>
    <w:rsid w:val="00B6440F"/>
    <w:rsid w:val="00B7119B"/>
    <w:rsid w:val="00B73F7E"/>
    <w:rsid w:val="00B82C18"/>
    <w:rsid w:val="00B8622A"/>
    <w:rsid w:val="00B97715"/>
    <w:rsid w:val="00B97FD0"/>
    <w:rsid w:val="00BA1746"/>
    <w:rsid w:val="00BA3CBB"/>
    <w:rsid w:val="00BA4794"/>
    <w:rsid w:val="00BB622B"/>
    <w:rsid w:val="00BC591A"/>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3D62"/>
    <w:rsid w:val="00CC48B5"/>
    <w:rsid w:val="00CE049D"/>
    <w:rsid w:val="00CE5838"/>
    <w:rsid w:val="00D036D9"/>
    <w:rsid w:val="00D1455D"/>
    <w:rsid w:val="00D26184"/>
    <w:rsid w:val="00D31D69"/>
    <w:rsid w:val="00D32527"/>
    <w:rsid w:val="00D32D08"/>
    <w:rsid w:val="00D33E19"/>
    <w:rsid w:val="00D3594F"/>
    <w:rsid w:val="00D4261A"/>
    <w:rsid w:val="00D47AEC"/>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B6E5A"/>
    <w:rsid w:val="00DC6298"/>
    <w:rsid w:val="00DC7E21"/>
    <w:rsid w:val="00DD2B86"/>
    <w:rsid w:val="00DD5CC6"/>
    <w:rsid w:val="00DD7D74"/>
    <w:rsid w:val="00DE27B9"/>
    <w:rsid w:val="00DE2E18"/>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B7AC2"/>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numbering" w:styleId="1ai">
    <w:name w:val="Outline List 1"/>
    <w:basedOn w:val="Nessunelenco"/>
    <w:rsid w:val="00CC3D62"/>
    <w:pPr>
      <w:numPr>
        <w:numId w:val="30"/>
      </w:numPr>
    </w:pPr>
  </w:style>
  <w:style w:type="character" w:styleId="Enfasicorsivo">
    <w:name w:val="Emphasis"/>
    <w:qFormat/>
    <w:rsid w:val="00CC3D6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numbering" w:styleId="1ai">
    <w:name w:val="Outline List 1"/>
    <w:basedOn w:val="Nessunelenco"/>
    <w:rsid w:val="00CC3D62"/>
    <w:pPr>
      <w:numPr>
        <w:numId w:val="30"/>
      </w:numPr>
    </w:pPr>
  </w:style>
  <w:style w:type="character" w:styleId="Enfasicorsivo">
    <w:name w:val="Emphasis"/>
    <w:qFormat/>
    <w:rsid w:val="00CC3D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08F87-2721-48EF-87C4-93413736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6894</Words>
  <Characters>39300</Characters>
  <Application>Microsoft Office Word</Application>
  <DocSecurity>0</DocSecurity>
  <Lines>327</Lines>
  <Paragraphs>92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46102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2017-09-26T08:33:00Z</dcterms:created>
  <dcterms:modified xsi:type="dcterms:W3CDTF">2017-09-27T09:34:00Z</dcterms:modified>
</cp:coreProperties>
</file>