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5AFCE87A" w:rsidR="00FF22A5" w:rsidRDefault="009D7D69" w:rsidP="00FF22A5">
      <w:pPr>
        <w:jc w:val="both"/>
        <w:rPr>
          <w:rStyle w:val="BLOCKBOLD"/>
          <w:rFonts w:ascii="Calibri" w:hAnsi="Calibri"/>
        </w:rPr>
      </w:pPr>
      <w:r w:rsidRPr="009D7D69">
        <w:rPr>
          <w:rStyle w:val="BLOCKBOLD"/>
          <w:rFonts w:ascii="Calibri" w:hAnsi="Calibri"/>
        </w:rPr>
        <w:t xml:space="preserve">Affidamento Diretto Mepa (ex art. 1 Comma 2 lett. a) della Legge 120/2020) per Accertamenti di diagnostica clinica e strumentale </w:t>
      </w:r>
      <w:r w:rsidR="00FF22A5" w:rsidRPr="00A007BF">
        <w:rPr>
          <w:rStyle w:val="BLOCKBOLD"/>
          <w:rFonts w:ascii="Calibri" w:hAnsi="Calibri"/>
        </w:rPr>
        <w:t xml:space="preserve">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334EF1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334EF1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334EF1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334EF1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  <w:bookmarkStart w:id="0" w:name="_GoBack"/>
      <w:bookmarkEnd w:id="0"/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472644AB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9D7D69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34EF1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D7D69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2022-03-22T17:42:00Z</dcterms:modified>
</cp:coreProperties>
</file>