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p w:rsidR="00827C3B" w:rsidRPr="00BF13C1" w:rsidRDefault="00827C3B" w:rsidP="00BF13C1">
      <w:pPr>
        <w:pStyle w:val="Titolocopertina"/>
        <w:ind w:left="284"/>
      </w:pPr>
      <w:r w:rsidRPr="00BF13C1">
        <w:t>GARA PER</w:t>
      </w:r>
      <w:r w:rsidR="00133A98">
        <w:t xml:space="preserve"> LA FORNITURA DI FARMACI BIOLOGICI PER LE PUBBLICHE AMMINISTRAZIONI – II edizione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:rsidR="00BE2716" w:rsidRPr="00BF13C1" w:rsidRDefault="00BE2716" w:rsidP="00BF13C1">
      <w:pPr>
        <w:pStyle w:val="Titoli14bold"/>
        <w:ind w:left="284"/>
      </w:pPr>
      <w:r w:rsidRPr="00BF13C1">
        <w:t>QUESTIONARIO GENERALE</w:t>
      </w:r>
      <w:r w:rsidR="00350C01">
        <w:t>/TECNICO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E2716" w:rsidRPr="00FC085A" w:rsidRDefault="00CA5DAE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9" w:history="1">
        <w:r w:rsidR="00133A98" w:rsidRPr="00FC085A">
          <w:rPr>
            <w:rStyle w:val="Collegamentoipertestuale"/>
            <w:rFonts w:ascii="Calibri" w:hAnsi="Calibri" w:cs="Arial"/>
            <w:b/>
            <w:i/>
            <w:sz w:val="22"/>
            <w:szCs w:val="22"/>
          </w:rPr>
          <w:t>dsbsconsip@postacert.consip.it</w:t>
        </w:r>
      </w:hyperlink>
    </w:p>
    <w:p w:rsidR="00BE2716" w:rsidRPr="00FC085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FC085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BE2716" w:rsidRPr="00FC085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FC085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Pr="00FC085A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FC085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FC085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Pr="00FC085A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FC085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FC085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5A27" w:rsidRPr="00FC085A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C085A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DD4242" w:rsidRPr="00DD4242">
        <w:rPr>
          <w:rFonts w:asciiTheme="minorHAnsi" w:hAnsiTheme="minorHAnsi" w:cs="Arial"/>
          <w:bCs/>
          <w:sz w:val="20"/>
          <w:szCs w:val="20"/>
        </w:rPr>
        <w:t>23</w:t>
      </w:r>
      <w:r w:rsidR="008449F2" w:rsidRPr="00FC085A">
        <w:rPr>
          <w:rFonts w:asciiTheme="minorHAnsi" w:hAnsiTheme="minorHAnsi" w:cs="Arial"/>
          <w:bCs/>
          <w:sz w:val="20"/>
          <w:szCs w:val="20"/>
        </w:rPr>
        <w:t>/</w:t>
      </w:r>
      <w:r w:rsidR="00133A98" w:rsidRPr="00FC085A">
        <w:rPr>
          <w:rFonts w:asciiTheme="minorHAnsi" w:hAnsiTheme="minorHAnsi" w:cs="Arial"/>
          <w:bCs/>
          <w:sz w:val="20"/>
          <w:szCs w:val="20"/>
        </w:rPr>
        <w:t>05</w:t>
      </w:r>
      <w:r w:rsidR="008449F2" w:rsidRPr="00FC085A">
        <w:rPr>
          <w:rFonts w:asciiTheme="minorHAnsi" w:hAnsiTheme="minorHAnsi" w:cs="Arial"/>
          <w:bCs/>
          <w:sz w:val="20"/>
          <w:szCs w:val="20"/>
        </w:rPr>
        <w:t>/</w:t>
      </w:r>
      <w:r w:rsidR="00133A98" w:rsidRPr="00FC085A">
        <w:rPr>
          <w:rFonts w:asciiTheme="minorHAnsi" w:hAnsiTheme="minorHAnsi" w:cs="Arial"/>
          <w:bCs/>
          <w:sz w:val="20"/>
          <w:szCs w:val="20"/>
        </w:rPr>
        <w:t>2019</w:t>
      </w:r>
    </w:p>
    <w:p w:rsidR="008449F2" w:rsidRPr="00FC085A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FC085A"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FC085A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:rsidR="001A15BE" w:rsidRPr="00133A98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33A98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133A98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133A98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133A98">
        <w:rPr>
          <w:rFonts w:asciiTheme="minorHAnsi" w:hAnsiTheme="minorHAnsi" w:cs="Arial"/>
          <w:bCs/>
          <w:sz w:val="20"/>
          <w:szCs w:val="20"/>
        </w:rPr>
        <w:t>.</w:t>
      </w:r>
    </w:p>
    <w:p w:rsidR="001F6443" w:rsidRPr="004A4EB1" w:rsidRDefault="001F6443" w:rsidP="00BF13C1">
      <w:pPr>
        <w:spacing w:line="360" w:lineRule="auto"/>
        <w:ind w:left="284"/>
        <w:jc w:val="both"/>
        <w:rPr>
          <w:rFonts w:ascii="Calibri" w:hAnsi="Calibri" w:cs="Arial"/>
          <w:color w:val="FF0000"/>
          <w:sz w:val="20"/>
          <w:szCs w:val="20"/>
        </w:rPr>
      </w:pPr>
    </w:p>
    <w:p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:rsidR="00F8539B" w:rsidRPr="00F8539B" w:rsidRDefault="00F8539B" w:rsidP="00350C01">
      <w:pPr>
        <w:pStyle w:val="BodyText21"/>
        <w:numPr>
          <w:ilvl w:val="0"/>
          <w:numId w:val="30"/>
        </w:numPr>
        <w:tabs>
          <w:tab w:val="clear" w:pos="1440"/>
          <w:tab w:val="left" w:pos="567"/>
        </w:tabs>
        <w:spacing w:line="276" w:lineRule="auto"/>
        <w:ind w:left="567" w:hanging="218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:rsidR="00F8539B" w:rsidRPr="00F8539B" w:rsidRDefault="00F8539B" w:rsidP="00350C01">
      <w:pPr>
        <w:pStyle w:val="BodyText21"/>
        <w:numPr>
          <w:ilvl w:val="0"/>
          <w:numId w:val="30"/>
        </w:numPr>
        <w:tabs>
          <w:tab w:val="clear" w:pos="1440"/>
          <w:tab w:val="left" w:pos="567"/>
        </w:tabs>
        <w:spacing w:line="276" w:lineRule="auto"/>
        <w:ind w:left="567" w:hanging="218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:rsidR="00F8539B" w:rsidRPr="00F8539B" w:rsidRDefault="00F8539B" w:rsidP="00350C01">
      <w:pPr>
        <w:pStyle w:val="BodyText21"/>
        <w:numPr>
          <w:ilvl w:val="0"/>
          <w:numId w:val="30"/>
        </w:numPr>
        <w:tabs>
          <w:tab w:val="clear" w:pos="1440"/>
          <w:tab w:val="left" w:pos="567"/>
        </w:tabs>
        <w:spacing w:line="276" w:lineRule="auto"/>
        <w:ind w:left="567" w:hanging="218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:rsidR="00F8539B" w:rsidRPr="00F8539B" w:rsidRDefault="00F8539B" w:rsidP="00350C01">
      <w:pPr>
        <w:pStyle w:val="BodyText21"/>
        <w:numPr>
          <w:ilvl w:val="0"/>
          <w:numId w:val="30"/>
        </w:numPr>
        <w:tabs>
          <w:tab w:val="clear" w:pos="1440"/>
          <w:tab w:val="left" w:pos="567"/>
        </w:tabs>
        <w:spacing w:line="276" w:lineRule="auto"/>
        <w:ind w:left="567" w:hanging="218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133A98">
        <w:rPr>
          <w:rFonts w:asciiTheme="minorHAnsi" w:hAnsiTheme="minorHAnsi" w:cs="Arial"/>
          <w:bCs/>
          <w:sz w:val="20"/>
          <w:szCs w:val="20"/>
        </w:rPr>
        <w:t>Farmaci Biologici – II edizione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33A98">
        <w:rPr>
          <w:rFonts w:asciiTheme="minorHAnsi" w:hAnsiTheme="minorHAnsi" w:cs="Arial"/>
          <w:b/>
          <w:bCs/>
          <w:sz w:val="20"/>
          <w:szCs w:val="20"/>
          <w:u w:val="single"/>
        </w:rPr>
        <w:t>30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133A98" w:rsidRPr="00B44D97">
          <w:rPr>
            <w:rStyle w:val="Collegamentoipertestuale"/>
            <w:rFonts w:asciiTheme="minorHAnsi" w:hAnsiTheme="minorHAnsi"/>
            <w:b/>
            <w:i/>
            <w:sz w:val="20"/>
          </w:rPr>
          <w:t>dsbsconsip@postacert.consip.it</w:t>
        </w:r>
      </w:hyperlink>
      <w:r w:rsidR="00133A98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133A98" w:rsidRPr="003D12DA">
        <w:rPr>
          <w:rFonts w:asciiTheme="minorHAnsi" w:hAnsiTheme="minorHAnsi" w:cs="Arial"/>
          <w:bCs/>
          <w:sz w:val="20"/>
          <w:szCs w:val="20"/>
        </w:rPr>
        <w:t xml:space="preserve">riportando nell’oggetto della stessa "Riscontro ad indagine di mercato – </w:t>
      </w:r>
      <w:r w:rsidR="00133A98">
        <w:rPr>
          <w:rFonts w:asciiTheme="minorHAnsi" w:hAnsiTheme="minorHAnsi" w:cs="Arial"/>
          <w:bCs/>
          <w:sz w:val="20"/>
          <w:szCs w:val="20"/>
        </w:rPr>
        <w:t>Farmaci Biologici - II edizione</w:t>
      </w:r>
      <w:r w:rsidR="00133A98" w:rsidRPr="003D12DA">
        <w:rPr>
          <w:rFonts w:asciiTheme="minorHAnsi" w:hAnsiTheme="minorHAnsi" w:cs="Arial"/>
          <w:bCs/>
          <w:sz w:val="20"/>
          <w:szCs w:val="20"/>
        </w:rPr>
        <w:t>”</w:t>
      </w:r>
      <w:r w:rsidR="00133A98" w:rsidRPr="004E504E">
        <w:rPr>
          <w:rStyle w:val="Collegamentoipertestuale"/>
          <w:rFonts w:ascii="Calibri" w:hAnsi="Calibri" w:cs="Arial"/>
          <w:sz w:val="22"/>
          <w:szCs w:val="22"/>
          <w:u w:val="none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F430C">
        <w:rPr>
          <w:rFonts w:ascii="Calibri" w:hAnsi="Calibri" w:cs="Arial"/>
          <w:bCs/>
          <w:sz w:val="20"/>
          <w:szCs w:val="20"/>
        </w:rPr>
        <w:t>non è obbligatorio ma</w:t>
      </w:r>
      <w:r w:rsidR="006F430C"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 xml:space="preserve">Se in caso di esercizio del diritto di accesso e dei diritti connessi previsti dagli artt. da 15 a </w:t>
      </w:r>
      <w:r w:rsidR="006F430C">
        <w:rPr>
          <w:rFonts w:asciiTheme="minorHAnsi" w:hAnsiTheme="minorHAnsi" w:cs="Arial"/>
          <w:bCs/>
          <w:sz w:val="20"/>
          <w:szCs w:val="20"/>
        </w:rPr>
        <w:t>23</w:t>
      </w:r>
      <w:r w:rsidR="006F430C" w:rsidRPr="006F7363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Pr="00BB4433" w:rsidRDefault="00122B75" w:rsidP="00FC085A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A14F4A" w:rsidRPr="004C69E8" w:rsidRDefault="00A14F4A" w:rsidP="004C69E8">
      <w:p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4C69E8">
        <w:rPr>
          <w:rFonts w:asciiTheme="minorHAnsi" w:hAnsiTheme="minorHAnsi" w:cs="Arial"/>
          <w:bCs/>
          <w:sz w:val="20"/>
          <w:szCs w:val="20"/>
        </w:rPr>
        <w:t xml:space="preserve">Lo scopo dell’iniziativa è di coprire le esigenze di approvvigionamento della PA di farmaci biologici a brevetto scaduto per i quali sia presente sul mercato almeno un farmaco </w:t>
      </w:r>
      <w:proofErr w:type="spellStart"/>
      <w:r w:rsidRPr="004C69E8">
        <w:rPr>
          <w:rFonts w:asciiTheme="minorHAnsi" w:hAnsiTheme="minorHAnsi" w:cs="Arial"/>
          <w:bCs/>
          <w:sz w:val="20"/>
          <w:szCs w:val="20"/>
        </w:rPr>
        <w:t>biosimilare</w:t>
      </w:r>
      <w:proofErr w:type="spellEnd"/>
      <w:r w:rsidRPr="004C69E8">
        <w:rPr>
          <w:rFonts w:asciiTheme="minorHAnsi" w:hAnsiTheme="minorHAnsi" w:cs="Arial"/>
          <w:bCs/>
          <w:sz w:val="20"/>
          <w:szCs w:val="20"/>
        </w:rPr>
        <w:t>.</w:t>
      </w:r>
    </w:p>
    <w:p w:rsidR="004C69E8" w:rsidRDefault="004C69E8" w:rsidP="004C69E8">
      <w:p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</w:p>
    <w:p w:rsidR="005127C1" w:rsidRDefault="003C616D" w:rsidP="004C69E8">
      <w:p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4C69E8">
        <w:rPr>
          <w:rFonts w:asciiTheme="minorHAnsi" w:hAnsiTheme="minorHAnsi" w:cs="Arial"/>
          <w:bCs/>
          <w:sz w:val="20"/>
          <w:szCs w:val="20"/>
        </w:rPr>
        <w:t>I farmaci sono una delle categorie previste dal DPCM del</w:t>
      </w:r>
      <w:r w:rsidR="004C69E8" w:rsidRPr="004C69E8">
        <w:rPr>
          <w:rFonts w:asciiTheme="minorHAnsi" w:hAnsiTheme="minorHAnsi" w:cs="Arial"/>
          <w:bCs/>
          <w:sz w:val="20"/>
          <w:szCs w:val="20"/>
        </w:rPr>
        <w:t>l’11</w:t>
      </w:r>
      <w:r w:rsidRPr="004C69E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C69E8" w:rsidRPr="004C69E8">
        <w:rPr>
          <w:rFonts w:asciiTheme="minorHAnsi" w:hAnsiTheme="minorHAnsi" w:cs="Arial"/>
          <w:bCs/>
          <w:sz w:val="20"/>
          <w:szCs w:val="20"/>
        </w:rPr>
        <w:t xml:space="preserve">Luglio 2018 </w:t>
      </w:r>
      <w:r w:rsidRPr="004C69E8">
        <w:rPr>
          <w:rFonts w:asciiTheme="minorHAnsi" w:hAnsiTheme="minorHAnsi" w:cs="Arial"/>
          <w:bCs/>
          <w:sz w:val="20"/>
          <w:szCs w:val="20"/>
        </w:rPr>
        <w:t xml:space="preserve">e, pertanto, le Amministrazioni statali e regionali nonché gli enti del SSN e gli enti locali devono ricorrere a Consip o ad altro soggetto aggregatore per lo svolgimento della procedura di acquisizione. </w:t>
      </w:r>
    </w:p>
    <w:p w:rsidR="004C69E8" w:rsidRDefault="004C69E8" w:rsidP="004C69E8">
      <w:p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 particolare, gli Enti del Servizio Sanitario Nazionale hanno l’o</w:t>
      </w:r>
      <w:r w:rsidRPr="004C69E8">
        <w:rPr>
          <w:rFonts w:asciiTheme="minorHAnsi" w:hAnsiTheme="minorHAnsi" w:cs="Arial"/>
          <w:bCs/>
          <w:sz w:val="20"/>
          <w:szCs w:val="20"/>
        </w:rPr>
        <w:t>bbligo di ricor</w:t>
      </w:r>
      <w:r>
        <w:rPr>
          <w:rFonts w:asciiTheme="minorHAnsi" w:hAnsiTheme="minorHAnsi" w:cs="Arial"/>
          <w:bCs/>
          <w:sz w:val="20"/>
          <w:szCs w:val="20"/>
        </w:rPr>
        <w:t>rere</w:t>
      </w:r>
      <w:r w:rsidRPr="004C69E8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in primo luogo </w:t>
      </w:r>
      <w:r w:rsidRPr="004C69E8">
        <w:rPr>
          <w:rFonts w:asciiTheme="minorHAnsi" w:hAnsiTheme="minorHAnsi" w:cs="Arial"/>
          <w:bCs/>
          <w:sz w:val="20"/>
          <w:szCs w:val="20"/>
        </w:rPr>
        <w:t xml:space="preserve">alle convenzioni della centrale regionale di riferimento </w:t>
      </w:r>
      <w:r w:rsidR="00FC085A">
        <w:rPr>
          <w:rFonts w:asciiTheme="minorHAnsi" w:hAnsiTheme="minorHAnsi" w:cs="Arial"/>
          <w:bCs/>
          <w:sz w:val="20"/>
          <w:szCs w:val="20"/>
        </w:rPr>
        <w:t>e</w:t>
      </w:r>
      <w:r w:rsidRPr="004C69E8">
        <w:rPr>
          <w:rFonts w:asciiTheme="minorHAnsi" w:hAnsiTheme="minorHAnsi" w:cs="Arial"/>
          <w:bCs/>
          <w:sz w:val="20"/>
          <w:szCs w:val="20"/>
        </w:rPr>
        <w:t>, in mancanza, di Consip.</w:t>
      </w:r>
    </w:p>
    <w:p w:rsidR="005127C1" w:rsidRPr="004C69E8" w:rsidRDefault="004C69E8" w:rsidP="004C69E8">
      <w:pPr>
        <w:spacing w:line="300" w:lineRule="exact"/>
        <w:jc w:val="both"/>
        <w:rPr>
          <w:rFonts w:asciiTheme="minorHAnsi" w:hAnsiTheme="minorHAnsi" w:cs="Arial"/>
          <w:bCs/>
          <w:sz w:val="20"/>
          <w:szCs w:val="20"/>
        </w:rPr>
      </w:pPr>
      <w:r w:rsidRPr="009465BD">
        <w:rPr>
          <w:rFonts w:asciiTheme="minorHAnsi" w:hAnsiTheme="minorHAnsi" w:cs="Arial"/>
          <w:bCs/>
          <w:sz w:val="20"/>
          <w:szCs w:val="20"/>
        </w:rPr>
        <w:t>P</w:t>
      </w:r>
      <w:r w:rsidR="003C616D" w:rsidRPr="009465BD">
        <w:rPr>
          <w:rFonts w:asciiTheme="minorHAnsi" w:hAnsiTheme="minorHAnsi" w:cs="Arial"/>
          <w:bCs/>
          <w:sz w:val="20"/>
          <w:szCs w:val="20"/>
        </w:rPr>
        <w:t xml:space="preserve">er l’acquisto di farmaci biologici a brevetto scaduto e per i quali siano presenti sul mercato almeno 3 farmaci </w:t>
      </w:r>
      <w:proofErr w:type="spellStart"/>
      <w:r w:rsidR="003C616D" w:rsidRPr="009465BD">
        <w:rPr>
          <w:rFonts w:asciiTheme="minorHAnsi" w:hAnsiTheme="minorHAnsi" w:cs="Arial"/>
          <w:bCs/>
          <w:sz w:val="20"/>
          <w:szCs w:val="20"/>
        </w:rPr>
        <w:t>biosimilari</w:t>
      </w:r>
      <w:proofErr w:type="spellEnd"/>
      <w:r w:rsidR="003C616D" w:rsidRPr="009465BD">
        <w:rPr>
          <w:rFonts w:asciiTheme="minorHAnsi" w:hAnsiTheme="minorHAnsi" w:cs="Arial"/>
          <w:bCs/>
          <w:sz w:val="20"/>
          <w:szCs w:val="20"/>
        </w:rPr>
        <w:t>, la Legge di Stabilità 2017 (L. 232/2016, comma 407) ha introdotto importanti novità</w:t>
      </w:r>
      <w:r w:rsidR="003C616D" w:rsidRPr="004C69E8">
        <w:rPr>
          <w:rFonts w:asciiTheme="minorHAnsi" w:hAnsiTheme="minorHAnsi" w:cs="Arial"/>
          <w:bCs/>
          <w:sz w:val="20"/>
          <w:szCs w:val="20"/>
        </w:rPr>
        <w:t xml:space="preserve"> al fine di razionalizzare la spesa, prevedendo che: </w:t>
      </w:r>
    </w:p>
    <w:p w:rsidR="005127C1" w:rsidRPr="004C69E8" w:rsidRDefault="003C616D" w:rsidP="004C69E8">
      <w:pPr>
        <w:numPr>
          <w:ilvl w:val="1"/>
          <w:numId w:val="45"/>
        </w:numPr>
        <w:tabs>
          <w:tab w:val="clear" w:pos="1440"/>
          <w:tab w:val="num" w:pos="851"/>
        </w:tabs>
        <w:spacing w:line="300" w:lineRule="exact"/>
        <w:ind w:left="851" w:hanging="567"/>
        <w:jc w:val="both"/>
        <w:rPr>
          <w:rFonts w:asciiTheme="minorHAnsi" w:hAnsiTheme="minorHAnsi" w:cs="Arial"/>
          <w:bCs/>
          <w:sz w:val="20"/>
          <w:szCs w:val="20"/>
        </w:rPr>
      </w:pPr>
      <w:r w:rsidRPr="004C69E8">
        <w:rPr>
          <w:rFonts w:asciiTheme="minorHAnsi" w:hAnsiTheme="minorHAnsi" w:cs="Arial"/>
          <w:bCs/>
          <w:sz w:val="20"/>
          <w:szCs w:val="20"/>
        </w:rPr>
        <w:t>le procedure pubbliche di acquisto devono svolgersi mediante utilizzo di accordi quadro con tutti gli operatori economici;</w:t>
      </w:r>
    </w:p>
    <w:p w:rsidR="005127C1" w:rsidRPr="004C69E8" w:rsidRDefault="003C616D" w:rsidP="004C69E8">
      <w:pPr>
        <w:numPr>
          <w:ilvl w:val="1"/>
          <w:numId w:val="45"/>
        </w:numPr>
        <w:tabs>
          <w:tab w:val="clear" w:pos="1440"/>
          <w:tab w:val="num" w:pos="851"/>
        </w:tabs>
        <w:spacing w:line="300" w:lineRule="exact"/>
        <w:ind w:left="851" w:hanging="567"/>
        <w:jc w:val="both"/>
        <w:rPr>
          <w:rFonts w:asciiTheme="minorHAnsi" w:hAnsiTheme="minorHAnsi" w:cs="Arial"/>
          <w:bCs/>
          <w:sz w:val="20"/>
          <w:szCs w:val="20"/>
        </w:rPr>
      </w:pPr>
      <w:r w:rsidRPr="004C69E8">
        <w:rPr>
          <w:rFonts w:asciiTheme="minorHAnsi" w:hAnsiTheme="minorHAnsi" w:cs="Arial"/>
          <w:bCs/>
          <w:sz w:val="20"/>
          <w:szCs w:val="20"/>
        </w:rPr>
        <w:t>i pazienti dovranno essere trattati con uno dei primi tre farmaci posti in graduatoria dell’accordo-quadro, ferma restando la libertà del medico di prescrivere anche un medicinale diverso per garantire la continuità terapeutica.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4C69E8" w:rsidRDefault="004C69E8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122B75" w:rsidRPr="00BB4433" w:rsidRDefault="00122B75" w:rsidP="00FC085A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  <w:r w:rsidR="00D52720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FA737A" w:rsidRPr="00FA737A" w:rsidRDefault="00FA737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DD4242" w:rsidRDefault="00DD4242" w:rsidP="00DD4242">
      <w:pPr>
        <w:numPr>
          <w:ilvl w:val="0"/>
          <w:numId w:val="38"/>
        </w:numPr>
        <w:jc w:val="both"/>
        <w:rPr>
          <w:rFonts w:ascii="Calibri" w:hAnsi="Calibri" w:cs="Arial"/>
          <w:iCs/>
          <w:sz w:val="20"/>
          <w:szCs w:val="20"/>
        </w:rPr>
      </w:pPr>
      <w:r w:rsidRPr="00D74239">
        <w:rPr>
          <w:rFonts w:ascii="Calibri" w:hAnsi="Calibri" w:cs="Arial"/>
          <w:iCs/>
          <w:sz w:val="20"/>
          <w:szCs w:val="20"/>
        </w:rPr>
        <w:t xml:space="preserve">Con riferimento ai farmaci </w:t>
      </w:r>
      <w:r w:rsidR="00954D24">
        <w:rPr>
          <w:rFonts w:ascii="Calibri" w:hAnsi="Calibri" w:cs="Arial"/>
          <w:iCs/>
          <w:sz w:val="20"/>
          <w:szCs w:val="20"/>
        </w:rPr>
        <w:t xml:space="preserve">biologici (originator e/o </w:t>
      </w:r>
      <w:proofErr w:type="spellStart"/>
      <w:r w:rsidR="00954D24">
        <w:rPr>
          <w:rFonts w:ascii="Calibri" w:hAnsi="Calibri" w:cs="Arial"/>
          <w:iCs/>
          <w:sz w:val="20"/>
          <w:szCs w:val="20"/>
        </w:rPr>
        <w:t>biosimilari</w:t>
      </w:r>
      <w:proofErr w:type="spellEnd"/>
      <w:r w:rsidR="00954D24">
        <w:rPr>
          <w:rFonts w:ascii="Calibri" w:hAnsi="Calibri" w:cs="Arial"/>
          <w:iCs/>
          <w:sz w:val="20"/>
          <w:szCs w:val="20"/>
        </w:rPr>
        <w:t xml:space="preserve">) da </w:t>
      </w:r>
      <w:r w:rsidR="009465BD">
        <w:rPr>
          <w:rFonts w:ascii="Calibri" w:hAnsi="Calibri" w:cs="Arial"/>
          <w:iCs/>
          <w:sz w:val="20"/>
          <w:szCs w:val="20"/>
        </w:rPr>
        <w:t>V</w:t>
      </w:r>
      <w:r w:rsidR="00954D24">
        <w:rPr>
          <w:rFonts w:ascii="Calibri" w:hAnsi="Calibri" w:cs="Arial"/>
          <w:iCs/>
          <w:sz w:val="20"/>
          <w:szCs w:val="20"/>
        </w:rPr>
        <w:t xml:space="preserve">oi commercializzati, </w:t>
      </w:r>
      <w:r w:rsidRPr="00D74239">
        <w:rPr>
          <w:rFonts w:ascii="Calibri" w:hAnsi="Calibri" w:cs="Arial"/>
          <w:iCs/>
          <w:sz w:val="20"/>
          <w:szCs w:val="20"/>
        </w:rPr>
        <w:t xml:space="preserve">si chiede di indicare l’eventuale presenza di dispositivi </w:t>
      </w:r>
      <w:r>
        <w:rPr>
          <w:rFonts w:ascii="Calibri" w:hAnsi="Calibri" w:cs="Arial"/>
          <w:iCs/>
          <w:sz w:val="20"/>
          <w:szCs w:val="20"/>
        </w:rPr>
        <w:t>necessari al</w:t>
      </w:r>
      <w:r w:rsidRPr="00D74239">
        <w:rPr>
          <w:rFonts w:ascii="Calibri" w:hAnsi="Calibri" w:cs="Arial"/>
          <w:iCs/>
          <w:sz w:val="20"/>
          <w:szCs w:val="20"/>
        </w:rPr>
        <w:t>la somministrazione non inclusi nel confezionamento del farmaco</w:t>
      </w:r>
      <w:r>
        <w:rPr>
          <w:rFonts w:ascii="Calibri" w:hAnsi="Calibri" w:cs="Arial"/>
          <w:iCs/>
          <w:sz w:val="20"/>
          <w:szCs w:val="20"/>
        </w:rPr>
        <w:t xml:space="preserve"> stesso.</w:t>
      </w:r>
      <w:r w:rsidRPr="00D74239">
        <w:rPr>
          <w:rFonts w:ascii="Calibri" w:hAnsi="Calibri" w:cs="Arial"/>
          <w:iCs/>
          <w:sz w:val="20"/>
          <w:szCs w:val="20"/>
        </w:rPr>
        <w:t xml:space="preserve"> </w:t>
      </w:r>
    </w:p>
    <w:p w:rsidR="00DD4242" w:rsidRPr="00053CBF" w:rsidRDefault="00DD4242" w:rsidP="00DD4242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 w:rsidRPr="00053CBF">
        <w:rPr>
          <w:rFonts w:ascii="Calibri" w:hAnsi="Calibri"/>
          <w:sz w:val="24"/>
        </w:rPr>
        <w:t>Risposta:</w:t>
      </w:r>
      <w:r w:rsidRPr="00053CBF">
        <w:rPr>
          <w:rFonts w:ascii="Calibri" w:hAnsi="Calibri" w:cs="Arial"/>
          <w:b w:val="0"/>
          <w:i/>
          <w:color w:val="0000FF"/>
          <w:szCs w:val="22"/>
        </w:rPr>
        <w:t xml:space="preserve"> </w:t>
      </w:r>
      <w:r w:rsidRPr="00053CB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242" w:rsidRDefault="00DD4242" w:rsidP="00DD4242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DD4242" w:rsidRPr="00D74239" w:rsidRDefault="00DD4242" w:rsidP="00DD4242">
      <w:pPr>
        <w:pStyle w:val="Paragrafoelenco"/>
        <w:ind w:left="360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7E27B1" w:rsidRDefault="007E27B1" w:rsidP="00BF7B31">
      <w:pPr>
        <w:numPr>
          <w:ilvl w:val="0"/>
          <w:numId w:val="38"/>
        </w:numPr>
        <w:jc w:val="both"/>
        <w:rPr>
          <w:rFonts w:ascii="Calibri" w:hAnsi="Calibri" w:cs="Arial"/>
          <w:iCs/>
          <w:sz w:val="20"/>
          <w:szCs w:val="20"/>
        </w:rPr>
      </w:pPr>
      <w:r w:rsidRPr="00BF7B31">
        <w:rPr>
          <w:rFonts w:ascii="Calibri" w:hAnsi="Calibri" w:cs="Arial"/>
          <w:iCs/>
          <w:sz w:val="20"/>
          <w:szCs w:val="20"/>
        </w:rPr>
        <w:t xml:space="preserve">Si chiede di indicare, </w:t>
      </w:r>
      <w:r w:rsidR="00954D24">
        <w:rPr>
          <w:rFonts w:ascii="Calibri" w:hAnsi="Calibri" w:cs="Arial"/>
          <w:iCs/>
          <w:sz w:val="20"/>
          <w:szCs w:val="20"/>
        </w:rPr>
        <w:t>indipendentemente dall’identità del titolare della corrispondente AIC</w:t>
      </w:r>
      <w:r w:rsidRPr="00BF7B31">
        <w:rPr>
          <w:rFonts w:ascii="Calibri" w:hAnsi="Calibri" w:cs="Arial"/>
          <w:iCs/>
          <w:sz w:val="20"/>
          <w:szCs w:val="20"/>
        </w:rPr>
        <w:t xml:space="preserve">, </w:t>
      </w:r>
      <w:r w:rsidR="00954D24">
        <w:rPr>
          <w:rFonts w:ascii="Calibri" w:hAnsi="Calibri" w:cs="Arial"/>
          <w:iCs/>
          <w:sz w:val="20"/>
          <w:szCs w:val="20"/>
        </w:rPr>
        <w:t>i</w:t>
      </w:r>
      <w:r w:rsidR="00BF7B31" w:rsidRPr="00BF7B31">
        <w:rPr>
          <w:rFonts w:ascii="Calibri" w:hAnsi="Calibri" w:cs="Arial"/>
          <w:iCs/>
          <w:sz w:val="20"/>
          <w:szCs w:val="20"/>
        </w:rPr>
        <w:t xml:space="preserve"> </w:t>
      </w:r>
      <w:r w:rsidR="00954D24">
        <w:rPr>
          <w:rFonts w:ascii="Calibri" w:hAnsi="Calibri" w:cs="Arial"/>
          <w:iCs/>
          <w:sz w:val="20"/>
          <w:szCs w:val="20"/>
        </w:rPr>
        <w:t>farmaci biologici presenti sul mercato</w:t>
      </w:r>
      <w:r w:rsidRPr="00BF7B31">
        <w:rPr>
          <w:rFonts w:ascii="Calibri" w:hAnsi="Calibri" w:cs="Arial"/>
          <w:iCs/>
          <w:sz w:val="20"/>
          <w:szCs w:val="20"/>
        </w:rPr>
        <w:t xml:space="preserve"> per i quali la tutela brevettuale scadrà nel triennio 2019/2021, indicando per ciascuno la data presumibile di scadenza del brevetto (mese/anno).</w:t>
      </w:r>
      <w:r w:rsidR="00954D24">
        <w:rPr>
          <w:rFonts w:ascii="Calibri" w:hAnsi="Calibri" w:cs="Arial"/>
          <w:iCs/>
          <w:sz w:val="20"/>
          <w:szCs w:val="20"/>
        </w:rPr>
        <w:t xml:space="preserve"> </w:t>
      </w:r>
    </w:p>
    <w:p w:rsidR="007E27B1" w:rsidRDefault="00DD4242" w:rsidP="00DD4242">
      <w:pPr>
        <w:pStyle w:val="Titolo1"/>
        <w:numPr>
          <w:ilvl w:val="0"/>
          <w:numId w:val="0"/>
        </w:numPr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320C00">
        <w:rPr>
          <w:rFonts w:ascii="Calibri" w:hAnsi="Calibri"/>
          <w:sz w:val="24"/>
        </w:rPr>
        <w:t>Risp</w:t>
      </w:r>
      <w:r>
        <w:rPr>
          <w:rFonts w:ascii="Calibri" w:hAnsi="Calibri"/>
          <w:sz w:val="24"/>
        </w:rPr>
        <w:t>o</w:t>
      </w:r>
      <w:r w:rsidRPr="00320C00">
        <w:rPr>
          <w:rFonts w:ascii="Calibri" w:hAnsi="Calibri"/>
          <w:sz w:val="24"/>
        </w:rPr>
        <w:t>sta:</w:t>
      </w:r>
    </w:p>
    <w:tbl>
      <w:tblPr>
        <w:tblW w:w="711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2978"/>
      </w:tblGrid>
      <w:tr w:rsidR="0001305C" w:rsidRPr="00777C76" w:rsidTr="0001305C">
        <w:trPr>
          <w:jc w:val="center"/>
        </w:trPr>
        <w:tc>
          <w:tcPr>
            <w:tcW w:w="4139" w:type="dxa"/>
            <w:shd w:val="clear" w:color="auto" w:fill="F2F2F2"/>
            <w:vAlign w:val="center"/>
          </w:tcPr>
          <w:p w:rsidR="0001305C" w:rsidRPr="005D62FF" w:rsidRDefault="0001305C" w:rsidP="00452DD9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5D62FF">
              <w:rPr>
                <w:rFonts w:ascii="Calibri" w:hAnsi="Calibri" w:cs="Arial"/>
                <w:b/>
                <w:iCs/>
                <w:sz w:val="20"/>
                <w:szCs w:val="20"/>
              </w:rPr>
              <w:t>Principio attivo</w:t>
            </w:r>
          </w:p>
        </w:tc>
        <w:tc>
          <w:tcPr>
            <w:tcW w:w="2978" w:type="dxa"/>
            <w:shd w:val="clear" w:color="auto" w:fill="F2F2F2"/>
            <w:vAlign w:val="center"/>
          </w:tcPr>
          <w:p w:rsidR="0001305C" w:rsidRPr="005D62FF" w:rsidRDefault="0001305C" w:rsidP="00452DD9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Data di scadenza del brevetto</w:t>
            </w:r>
          </w:p>
        </w:tc>
      </w:tr>
      <w:tr w:rsidR="0001305C" w:rsidRPr="00777C76" w:rsidTr="0001305C">
        <w:trPr>
          <w:jc w:val="center"/>
        </w:trPr>
        <w:tc>
          <w:tcPr>
            <w:tcW w:w="4139" w:type="dxa"/>
            <w:shd w:val="clear" w:color="auto" w:fill="auto"/>
            <w:vAlign w:val="center"/>
          </w:tcPr>
          <w:p w:rsidR="0001305C" w:rsidRPr="009C68EC" w:rsidRDefault="0001305C" w:rsidP="0001305C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1305C" w:rsidRPr="00777C76" w:rsidRDefault="0001305C" w:rsidP="00452DD9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1305C" w:rsidRPr="00777C76" w:rsidTr="0001305C">
        <w:trPr>
          <w:jc w:val="center"/>
        </w:trPr>
        <w:tc>
          <w:tcPr>
            <w:tcW w:w="4139" w:type="dxa"/>
            <w:shd w:val="clear" w:color="auto" w:fill="auto"/>
            <w:vAlign w:val="center"/>
          </w:tcPr>
          <w:p w:rsidR="0001305C" w:rsidRPr="009C68EC" w:rsidRDefault="0001305C" w:rsidP="00452DD9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1305C" w:rsidRPr="00777C76" w:rsidRDefault="0001305C" w:rsidP="00452DD9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BF7B31" w:rsidRPr="00777C76" w:rsidTr="0001305C">
        <w:trPr>
          <w:jc w:val="center"/>
        </w:trPr>
        <w:tc>
          <w:tcPr>
            <w:tcW w:w="4139" w:type="dxa"/>
            <w:shd w:val="clear" w:color="auto" w:fill="auto"/>
            <w:vAlign w:val="center"/>
          </w:tcPr>
          <w:p w:rsidR="00BF7B31" w:rsidRPr="009C68EC" w:rsidRDefault="00BF7B31" w:rsidP="00452DD9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BF7B31" w:rsidRPr="00777C76" w:rsidRDefault="00BF7B31" w:rsidP="00452DD9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350C01" w:rsidRPr="00777C76" w:rsidTr="0001305C">
        <w:trPr>
          <w:jc w:val="center"/>
        </w:trPr>
        <w:tc>
          <w:tcPr>
            <w:tcW w:w="4139" w:type="dxa"/>
            <w:shd w:val="clear" w:color="auto" w:fill="auto"/>
            <w:vAlign w:val="center"/>
          </w:tcPr>
          <w:p w:rsidR="00350C01" w:rsidRPr="009C68EC" w:rsidRDefault="00350C01" w:rsidP="00452DD9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50C01" w:rsidRPr="00777C76" w:rsidRDefault="00350C01" w:rsidP="00452DD9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7E27B1" w:rsidRDefault="007E27B1" w:rsidP="007E27B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7E27B1" w:rsidRDefault="007E27B1" w:rsidP="007E27B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33A98" w:rsidRPr="00D52720" w:rsidRDefault="00D52720" w:rsidP="00133A98">
      <w:pPr>
        <w:numPr>
          <w:ilvl w:val="0"/>
          <w:numId w:val="38"/>
        </w:numPr>
        <w:jc w:val="both"/>
        <w:rPr>
          <w:rFonts w:ascii="Calibri" w:hAnsi="Calibri" w:cs="Arial"/>
          <w:bCs/>
          <w:sz w:val="20"/>
          <w:szCs w:val="20"/>
        </w:rPr>
      </w:pPr>
      <w:r w:rsidRPr="00D52720">
        <w:rPr>
          <w:rFonts w:ascii="Calibri" w:hAnsi="Calibri" w:cs="Arial"/>
          <w:iCs/>
          <w:sz w:val="20"/>
          <w:szCs w:val="20"/>
        </w:rPr>
        <w:lastRenderedPageBreak/>
        <w:t>Nel 2018 q</w:t>
      </w:r>
      <w:r w:rsidR="00133A98" w:rsidRPr="00D52720">
        <w:rPr>
          <w:rFonts w:ascii="Calibri" w:hAnsi="Calibri" w:cs="Arial"/>
          <w:iCs/>
          <w:sz w:val="20"/>
          <w:szCs w:val="20"/>
        </w:rPr>
        <w:t xml:space="preserve">ual è </w:t>
      </w:r>
      <w:r w:rsidRPr="00D52720">
        <w:rPr>
          <w:rFonts w:ascii="Calibri" w:hAnsi="Calibri" w:cs="Arial"/>
          <w:iCs/>
          <w:sz w:val="20"/>
          <w:szCs w:val="20"/>
        </w:rPr>
        <w:t xml:space="preserve">stato </w:t>
      </w:r>
      <w:r w:rsidR="00133A98" w:rsidRPr="00D52720">
        <w:rPr>
          <w:rFonts w:ascii="Calibri" w:hAnsi="Calibri" w:cs="Arial"/>
          <w:iCs/>
          <w:sz w:val="20"/>
          <w:szCs w:val="20"/>
        </w:rPr>
        <w:t xml:space="preserve">il fatturato complessivo della Vostra azienda relativo al mercato italiano </w:t>
      </w:r>
      <w:r w:rsidR="00BF7B31">
        <w:rPr>
          <w:rFonts w:ascii="Calibri" w:hAnsi="Calibri" w:cs="Arial"/>
          <w:iCs/>
          <w:sz w:val="20"/>
          <w:szCs w:val="20"/>
        </w:rPr>
        <w:t xml:space="preserve">(pubblico e privato) </w:t>
      </w:r>
      <w:r w:rsidR="00133A98" w:rsidRPr="00D52720">
        <w:rPr>
          <w:rFonts w:ascii="Calibri" w:hAnsi="Calibri" w:cs="Arial"/>
          <w:iCs/>
          <w:sz w:val="20"/>
          <w:szCs w:val="20"/>
        </w:rPr>
        <w:t>per  farmaci biologici? E qual è la Vostra quota di mercato rispetto al totale Italia?</w:t>
      </w:r>
    </w:p>
    <w:p w:rsidR="00133A98" w:rsidRPr="00053CBF" w:rsidRDefault="00133A98" w:rsidP="00133A98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 w:rsidRPr="00053CBF">
        <w:rPr>
          <w:rFonts w:ascii="Calibri" w:hAnsi="Calibri"/>
          <w:sz w:val="24"/>
        </w:rPr>
        <w:t>Risposta:</w:t>
      </w:r>
      <w:r w:rsidRPr="00053CBF">
        <w:rPr>
          <w:rFonts w:ascii="Calibri" w:hAnsi="Calibri" w:cs="Arial"/>
          <w:b w:val="0"/>
          <w:i/>
          <w:color w:val="0000FF"/>
          <w:szCs w:val="22"/>
        </w:rPr>
        <w:t xml:space="preserve"> </w:t>
      </w:r>
      <w:r w:rsidRPr="00053CB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DD4242" w:rsidRDefault="00DD4242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E6EAF" w:rsidRDefault="00FE6EAF" w:rsidP="00FE6EAF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4459AC" w:rsidRPr="004459AC" w:rsidRDefault="004459AC" w:rsidP="004459AC">
      <w:pPr>
        <w:numPr>
          <w:ilvl w:val="0"/>
          <w:numId w:val="38"/>
        </w:numPr>
        <w:jc w:val="both"/>
        <w:rPr>
          <w:rFonts w:ascii="Calibri" w:hAnsi="Calibri" w:cs="Arial"/>
          <w:iCs/>
          <w:sz w:val="20"/>
          <w:szCs w:val="20"/>
        </w:rPr>
      </w:pPr>
      <w:r w:rsidRPr="004459AC">
        <w:rPr>
          <w:rFonts w:ascii="Calibri" w:hAnsi="Calibri" w:cs="Arial"/>
          <w:iCs/>
          <w:sz w:val="20"/>
          <w:szCs w:val="20"/>
        </w:rPr>
        <w:t>Ritenete che ai fini di una maggiore aderenza rispetto alle esigenze della PA sarebbe necessario prevedere meccanismi di revisione dei prezzi</w:t>
      </w:r>
      <w:r w:rsidR="00E94249">
        <w:rPr>
          <w:rFonts w:ascii="Calibri" w:hAnsi="Calibri" w:cs="Arial"/>
          <w:iCs/>
          <w:sz w:val="20"/>
          <w:szCs w:val="20"/>
        </w:rPr>
        <w:t xml:space="preserve"> (anche in </w:t>
      </w:r>
      <w:r w:rsidR="00E94249" w:rsidRPr="004459AC">
        <w:rPr>
          <w:rFonts w:ascii="Calibri" w:hAnsi="Calibri" w:cs="Arial"/>
          <w:iCs/>
          <w:sz w:val="20"/>
          <w:szCs w:val="20"/>
        </w:rPr>
        <w:t>considerazione della durata stimata dei contratti</w:t>
      </w:r>
      <w:r w:rsidR="00E94249">
        <w:rPr>
          <w:rFonts w:ascii="Calibri" w:hAnsi="Calibri" w:cs="Arial"/>
          <w:iCs/>
          <w:sz w:val="20"/>
          <w:szCs w:val="20"/>
        </w:rPr>
        <w:t>, pari a 12 mesi)</w:t>
      </w:r>
      <w:r w:rsidRPr="004459AC">
        <w:rPr>
          <w:rFonts w:ascii="Calibri" w:hAnsi="Calibri" w:cs="Arial"/>
          <w:iCs/>
          <w:sz w:val="20"/>
          <w:szCs w:val="20"/>
        </w:rPr>
        <w:t xml:space="preserve">? Se si, indicate eventuali best </w:t>
      </w:r>
      <w:proofErr w:type="spellStart"/>
      <w:r w:rsidRPr="004459AC">
        <w:rPr>
          <w:rFonts w:ascii="Calibri" w:hAnsi="Calibri" w:cs="Arial"/>
          <w:iCs/>
          <w:sz w:val="20"/>
          <w:szCs w:val="20"/>
        </w:rPr>
        <w:t>practice</w:t>
      </w:r>
      <w:proofErr w:type="spellEnd"/>
      <w:r w:rsidRPr="004459AC">
        <w:rPr>
          <w:rFonts w:ascii="Calibri" w:hAnsi="Calibri" w:cs="Arial"/>
          <w:iCs/>
          <w:sz w:val="20"/>
          <w:szCs w:val="20"/>
        </w:rPr>
        <w:t xml:space="preserve"> riscontrate nell’ambito di altre procedure di acquisto (es. clausol</w:t>
      </w:r>
      <w:r w:rsidR="00E94249">
        <w:rPr>
          <w:rFonts w:ascii="Calibri" w:hAnsi="Calibri" w:cs="Arial"/>
          <w:iCs/>
          <w:sz w:val="20"/>
          <w:szCs w:val="20"/>
        </w:rPr>
        <w:t>e di rinegoziazione dei prezzi).</w:t>
      </w:r>
    </w:p>
    <w:p w:rsidR="004459AC" w:rsidRPr="00A60217" w:rsidRDefault="004459AC" w:rsidP="004459AC">
      <w:pPr>
        <w:pStyle w:val="Titolo1"/>
        <w:numPr>
          <w:ilvl w:val="0"/>
          <w:numId w:val="0"/>
        </w:numPr>
        <w:rPr>
          <w:rFonts w:ascii="Calibri" w:hAnsi="Calibri"/>
          <w:b w:val="0"/>
          <w:sz w:val="24"/>
        </w:rPr>
      </w:pPr>
      <w:r w:rsidRPr="00320C00">
        <w:rPr>
          <w:rFonts w:ascii="Calibri" w:hAnsi="Calibri"/>
          <w:sz w:val="24"/>
        </w:rPr>
        <w:t>Risposta:</w:t>
      </w:r>
      <w:r w:rsidRPr="00B94610">
        <w:rPr>
          <w:rFonts w:ascii="Calibri" w:hAnsi="Calibri" w:cs="Arial"/>
          <w:b w:val="0"/>
          <w:i/>
          <w:color w:val="FF0000"/>
          <w:szCs w:val="22"/>
        </w:rPr>
        <w:t xml:space="preserve"> </w:t>
      </w:r>
    </w:p>
    <w:p w:rsidR="004459AC" w:rsidRDefault="004459AC" w:rsidP="004459AC">
      <w:pPr>
        <w:jc w:val="both"/>
        <w:rPr>
          <w:rFonts w:ascii="Calibri" w:hAnsi="Calibri"/>
          <w:sz w:val="20"/>
          <w:szCs w:val="20"/>
        </w:rPr>
      </w:pPr>
      <w:r w:rsidRPr="006E1C2C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  <w:r w:rsidRPr="00053CB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9AC" w:rsidRDefault="004459AC" w:rsidP="00FE6EAF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350C01" w:rsidRDefault="00350C01" w:rsidP="00350C01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FE6EAF" w:rsidRDefault="00FE6EAF" w:rsidP="00FE6EAF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87401B" w:rsidRPr="0087401B" w:rsidRDefault="0087401B" w:rsidP="0087401B">
      <w:pPr>
        <w:numPr>
          <w:ilvl w:val="0"/>
          <w:numId w:val="38"/>
        </w:numPr>
        <w:jc w:val="both"/>
        <w:rPr>
          <w:rFonts w:ascii="Calibri" w:hAnsi="Calibri" w:cs="Arial"/>
          <w:iCs/>
          <w:sz w:val="20"/>
          <w:szCs w:val="20"/>
        </w:rPr>
      </w:pPr>
      <w:r w:rsidRPr="0087401B">
        <w:rPr>
          <w:rFonts w:ascii="Calibri" w:hAnsi="Calibri" w:cs="Arial"/>
          <w:iCs/>
          <w:sz w:val="20"/>
          <w:szCs w:val="20"/>
        </w:rPr>
        <w:t>In considerazione della tipologia di farmaci oggetto dell’iniziativa e delle caratteristiche del mercato, ritenete congrua una durata dei  contratti di fornitura pari a 12 mesi</w:t>
      </w:r>
      <w:r w:rsidR="00D52720">
        <w:rPr>
          <w:rFonts w:ascii="Calibri" w:hAnsi="Calibri" w:cs="Arial"/>
          <w:iCs/>
          <w:sz w:val="20"/>
          <w:szCs w:val="20"/>
        </w:rPr>
        <w:t xml:space="preserve"> e una durata della finestra di adesione</w:t>
      </w:r>
      <w:r w:rsidR="00B6543A" w:rsidRPr="00B6543A">
        <w:rPr>
          <w:rFonts w:ascii="Calibri" w:hAnsi="Calibri" w:cs="Arial"/>
          <w:iCs/>
          <w:sz w:val="20"/>
          <w:szCs w:val="20"/>
        </w:rPr>
        <w:t xml:space="preserve"> </w:t>
      </w:r>
      <w:r w:rsidR="00B6543A">
        <w:rPr>
          <w:rFonts w:ascii="Calibri" w:hAnsi="Calibri" w:cs="Arial"/>
          <w:iCs/>
          <w:sz w:val="20"/>
          <w:szCs w:val="20"/>
        </w:rPr>
        <w:t>per le Amministrazioni, attraverso emissione di ordinativi di fornitura,</w:t>
      </w:r>
      <w:r w:rsidR="00D52720">
        <w:rPr>
          <w:rFonts w:ascii="Calibri" w:hAnsi="Calibri" w:cs="Arial"/>
          <w:iCs/>
          <w:sz w:val="20"/>
          <w:szCs w:val="20"/>
        </w:rPr>
        <w:t xml:space="preserve"> di 12 mesi? (si ricorda che i 12 mesi del contratto di fornitura</w:t>
      </w:r>
      <w:r w:rsidR="00B6543A">
        <w:rPr>
          <w:rFonts w:ascii="Calibri" w:hAnsi="Calibri" w:cs="Arial"/>
          <w:iCs/>
          <w:sz w:val="20"/>
          <w:szCs w:val="20"/>
        </w:rPr>
        <w:t xml:space="preserve"> </w:t>
      </w:r>
      <w:r w:rsidR="00D52720">
        <w:rPr>
          <w:rFonts w:ascii="Calibri" w:hAnsi="Calibri" w:cs="Arial"/>
          <w:iCs/>
          <w:sz w:val="20"/>
          <w:szCs w:val="20"/>
        </w:rPr>
        <w:t xml:space="preserve">decorrono </w:t>
      </w:r>
      <w:r w:rsidR="00B6543A">
        <w:rPr>
          <w:rFonts w:ascii="Calibri" w:hAnsi="Calibri" w:cs="Arial"/>
          <w:iCs/>
          <w:sz w:val="20"/>
          <w:szCs w:val="20"/>
        </w:rPr>
        <w:t xml:space="preserve">dalla </w:t>
      </w:r>
      <w:r w:rsidR="00D52720">
        <w:rPr>
          <w:rFonts w:ascii="Calibri" w:hAnsi="Calibri" w:cs="Arial"/>
          <w:iCs/>
          <w:sz w:val="20"/>
          <w:szCs w:val="20"/>
        </w:rPr>
        <w:t xml:space="preserve">data di </w:t>
      </w:r>
      <w:r w:rsidR="00B6543A">
        <w:rPr>
          <w:rFonts w:ascii="Calibri" w:hAnsi="Calibri" w:cs="Arial"/>
          <w:iCs/>
          <w:sz w:val="20"/>
          <w:szCs w:val="20"/>
        </w:rPr>
        <w:t>emissione dell’ordinativo di fornitura da parte dell’Amministrazione).</w:t>
      </w:r>
      <w:r w:rsidR="00D52720">
        <w:rPr>
          <w:rFonts w:ascii="Calibri" w:hAnsi="Calibri" w:cs="Arial"/>
          <w:iCs/>
          <w:sz w:val="20"/>
          <w:szCs w:val="20"/>
        </w:rPr>
        <w:t xml:space="preserve"> </w:t>
      </w:r>
    </w:p>
    <w:p w:rsidR="009465BD" w:rsidRPr="00A60217" w:rsidRDefault="009465BD" w:rsidP="009465BD">
      <w:pPr>
        <w:pStyle w:val="Titolo1"/>
        <w:numPr>
          <w:ilvl w:val="0"/>
          <w:numId w:val="0"/>
        </w:numPr>
        <w:rPr>
          <w:rFonts w:ascii="Calibri" w:hAnsi="Calibri"/>
          <w:b w:val="0"/>
          <w:sz w:val="24"/>
        </w:rPr>
      </w:pPr>
      <w:r w:rsidRPr="00320C00">
        <w:rPr>
          <w:rFonts w:ascii="Calibri" w:hAnsi="Calibri"/>
          <w:sz w:val="24"/>
        </w:rPr>
        <w:t>Risposta:</w:t>
      </w:r>
      <w:r w:rsidRPr="00B94610">
        <w:rPr>
          <w:rFonts w:ascii="Calibri" w:hAnsi="Calibri" w:cs="Arial"/>
          <w:b w:val="0"/>
          <w:i/>
          <w:color w:val="FF0000"/>
          <w:szCs w:val="22"/>
        </w:rPr>
        <w:t xml:space="preserve"> </w:t>
      </w:r>
    </w:p>
    <w:p w:rsidR="009465BD" w:rsidRDefault="009465BD" w:rsidP="009465BD">
      <w:pPr>
        <w:jc w:val="both"/>
        <w:rPr>
          <w:rFonts w:ascii="Calibri" w:hAnsi="Calibri"/>
          <w:sz w:val="20"/>
          <w:szCs w:val="20"/>
        </w:rPr>
      </w:pPr>
      <w:r w:rsidRPr="006E1C2C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  <w:r w:rsidRPr="00053CB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5BD" w:rsidRDefault="009465BD" w:rsidP="009465BD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A20247" w:rsidRDefault="00A20247" w:rsidP="00A20247">
      <w:pPr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A20247" w:rsidRPr="00A20247" w:rsidRDefault="00A20247" w:rsidP="00A20247">
      <w:pPr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A20247" w:rsidRPr="00BF7B31" w:rsidRDefault="00A20247" w:rsidP="00A20247">
      <w:pPr>
        <w:numPr>
          <w:ilvl w:val="0"/>
          <w:numId w:val="38"/>
        </w:numPr>
        <w:jc w:val="both"/>
        <w:rPr>
          <w:rFonts w:ascii="Calibri" w:hAnsi="Calibri" w:cs="Arial"/>
          <w:b/>
          <w:bCs/>
          <w:sz w:val="20"/>
          <w:szCs w:val="20"/>
        </w:rPr>
      </w:pPr>
      <w:r w:rsidRPr="00BF7B31">
        <w:rPr>
          <w:rFonts w:ascii="Calibri" w:hAnsi="Calibri" w:cs="Arial"/>
          <w:iCs/>
          <w:sz w:val="20"/>
          <w:szCs w:val="20"/>
        </w:rPr>
        <w:t xml:space="preserve">Con riferimento alla merceologia oggetto della presente iniziativa, ritenete sia possibile individuare soluzioni che consentano la valutazione di </w:t>
      </w:r>
      <w:proofErr w:type="spellStart"/>
      <w:r w:rsidRPr="00BF7B31">
        <w:rPr>
          <w:rFonts w:ascii="Calibri" w:hAnsi="Calibri" w:cs="Arial"/>
          <w:iCs/>
          <w:sz w:val="20"/>
          <w:szCs w:val="20"/>
        </w:rPr>
        <w:t>outcome</w:t>
      </w:r>
      <w:proofErr w:type="spellEnd"/>
      <w:r w:rsidRPr="00BF7B31">
        <w:rPr>
          <w:rFonts w:ascii="Calibri" w:hAnsi="Calibri" w:cs="Arial"/>
          <w:iCs/>
          <w:sz w:val="20"/>
          <w:szCs w:val="20"/>
        </w:rPr>
        <w:t>/benefici di tipo clinico, economico, sociale? Se si, quali clausole contrattuali/criteri valutativi ritenete possano essere applicati?</w:t>
      </w:r>
      <w:r w:rsidRPr="00BF7B31"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A20247" w:rsidRPr="00053CBF" w:rsidRDefault="00A20247" w:rsidP="00A20247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 w:rsidRPr="00053CBF">
        <w:rPr>
          <w:rFonts w:ascii="Calibri" w:hAnsi="Calibri"/>
          <w:sz w:val="24"/>
        </w:rPr>
        <w:t>Risposta:</w:t>
      </w:r>
      <w:r w:rsidRPr="00053CBF">
        <w:rPr>
          <w:rFonts w:ascii="Calibri" w:hAnsi="Calibri" w:cs="Arial"/>
          <w:b w:val="0"/>
          <w:i/>
          <w:color w:val="0000FF"/>
          <w:szCs w:val="22"/>
        </w:rPr>
        <w:t xml:space="preserve"> </w:t>
      </w:r>
      <w:r w:rsidRPr="00053CB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5BD" w:rsidRDefault="009465BD" w:rsidP="009465BD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9465BD" w:rsidRDefault="009465BD" w:rsidP="009465BD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FE6EAF" w:rsidRPr="0087401B" w:rsidRDefault="00FE6EAF" w:rsidP="0087401B">
      <w:pPr>
        <w:numPr>
          <w:ilvl w:val="0"/>
          <w:numId w:val="38"/>
        </w:numPr>
        <w:jc w:val="both"/>
        <w:rPr>
          <w:rFonts w:ascii="Calibri" w:hAnsi="Calibri" w:cs="Arial"/>
          <w:iCs/>
          <w:sz w:val="20"/>
          <w:szCs w:val="20"/>
        </w:rPr>
      </w:pPr>
      <w:r w:rsidRPr="0087401B">
        <w:rPr>
          <w:rFonts w:ascii="Calibri" w:hAnsi="Calibri" w:cs="Arial"/>
          <w:iCs/>
          <w:sz w:val="20"/>
          <w:szCs w:val="20"/>
        </w:rPr>
        <w:lastRenderedPageBreak/>
        <w:t>Indicare eventuali elementi di criticità della precedente edizione che potrebbero essere superati e in che modo.</w:t>
      </w:r>
    </w:p>
    <w:p w:rsidR="00DD4242" w:rsidRPr="00053CBF" w:rsidRDefault="00DD4242" w:rsidP="00DD4242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 w:rsidRPr="00053CBF">
        <w:rPr>
          <w:rFonts w:ascii="Calibri" w:hAnsi="Calibri"/>
          <w:sz w:val="24"/>
        </w:rPr>
        <w:t>Risposta:</w:t>
      </w:r>
      <w:r w:rsidRPr="00053CBF">
        <w:rPr>
          <w:rFonts w:ascii="Calibri" w:hAnsi="Calibri" w:cs="Arial"/>
          <w:b w:val="0"/>
          <w:i/>
          <w:color w:val="0000FF"/>
          <w:szCs w:val="22"/>
        </w:rPr>
        <w:t xml:space="preserve"> </w:t>
      </w:r>
      <w:r w:rsidRPr="00053CB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EAF" w:rsidRDefault="00FE6EAF" w:rsidP="00FE6EAF">
      <w:p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</w:p>
    <w:p w:rsidR="00FE6EAF" w:rsidRDefault="00FE6EAF" w:rsidP="00FE6EAF">
      <w:p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</w:p>
    <w:p w:rsidR="009465BD" w:rsidRDefault="009465BD" w:rsidP="00FE6EAF">
      <w:p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</w:p>
    <w:p w:rsidR="00FE6EAF" w:rsidRPr="00B6543A" w:rsidRDefault="00FE6EAF" w:rsidP="0087401B">
      <w:pPr>
        <w:numPr>
          <w:ilvl w:val="0"/>
          <w:numId w:val="38"/>
        </w:numPr>
        <w:jc w:val="both"/>
        <w:rPr>
          <w:rFonts w:ascii="Calibri" w:hAnsi="Calibri" w:cs="Arial"/>
          <w:iCs/>
          <w:sz w:val="20"/>
          <w:szCs w:val="20"/>
        </w:rPr>
      </w:pPr>
      <w:r w:rsidRPr="00B6543A">
        <w:rPr>
          <w:rFonts w:ascii="Calibri" w:hAnsi="Calibri" w:cs="Arial"/>
          <w:iCs/>
          <w:sz w:val="20"/>
          <w:szCs w:val="20"/>
        </w:rPr>
        <w:t>Avete ulteriori elementi / informazioni che ritenete possano essere utili per lo sviluppo dell’iniziativa?</w:t>
      </w:r>
    </w:p>
    <w:p w:rsidR="00DD4242" w:rsidRPr="00053CBF" w:rsidRDefault="00DD4242" w:rsidP="00DD4242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 w:rsidRPr="00053CBF">
        <w:rPr>
          <w:rFonts w:ascii="Calibri" w:hAnsi="Calibri"/>
          <w:sz w:val="24"/>
        </w:rPr>
        <w:t>Risposta:</w:t>
      </w:r>
      <w:r w:rsidRPr="00053CBF">
        <w:rPr>
          <w:rFonts w:ascii="Calibri" w:hAnsi="Calibri" w:cs="Arial"/>
          <w:b w:val="0"/>
          <w:i/>
          <w:color w:val="0000FF"/>
          <w:szCs w:val="22"/>
        </w:rPr>
        <w:t xml:space="preserve"> </w:t>
      </w:r>
      <w:r w:rsidRPr="00053CB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01B" w:rsidRPr="00B6543A" w:rsidRDefault="0087401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7401B" w:rsidRPr="00B6543A" w:rsidRDefault="0087401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7401B" w:rsidRPr="00B6543A" w:rsidRDefault="0087401B" w:rsidP="0087401B">
      <w:pPr>
        <w:numPr>
          <w:ilvl w:val="0"/>
          <w:numId w:val="38"/>
        </w:numPr>
        <w:jc w:val="both"/>
        <w:rPr>
          <w:rFonts w:ascii="Calibri" w:hAnsi="Calibri" w:cs="Arial"/>
          <w:iCs/>
          <w:sz w:val="20"/>
          <w:szCs w:val="20"/>
        </w:rPr>
      </w:pPr>
      <w:r w:rsidRPr="00B6543A">
        <w:rPr>
          <w:rFonts w:ascii="Calibri" w:hAnsi="Calibri" w:cs="Arial"/>
          <w:iCs/>
          <w:sz w:val="20"/>
          <w:szCs w:val="20"/>
        </w:rPr>
        <w:t>La Vostra azienda sarebbe interessata a partecipare alla gara in oggetto? Se no, quali sono le motivazioni principali?</w:t>
      </w:r>
    </w:p>
    <w:p w:rsidR="00DD4242" w:rsidRPr="00053CBF" w:rsidRDefault="00DD4242" w:rsidP="00DD4242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 w:rsidRPr="00053CBF">
        <w:rPr>
          <w:rFonts w:ascii="Calibri" w:hAnsi="Calibri"/>
          <w:sz w:val="24"/>
        </w:rPr>
        <w:t>Risposta:</w:t>
      </w:r>
      <w:r w:rsidRPr="00053CBF">
        <w:rPr>
          <w:rFonts w:ascii="Calibri" w:hAnsi="Calibri" w:cs="Arial"/>
          <w:b w:val="0"/>
          <w:i/>
          <w:color w:val="0000FF"/>
          <w:szCs w:val="22"/>
        </w:rPr>
        <w:t xml:space="preserve"> </w:t>
      </w:r>
      <w:r w:rsidRPr="00053CBF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01B" w:rsidRDefault="0087401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DD4242" w:rsidRDefault="00DD424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DD4242" w:rsidRDefault="00DD4242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DD4242" w:rsidRPr="00DD4242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F387E" w:rsidRPr="00DD4242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A0CB1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:rsidTr="007D216F">
        <w:trPr>
          <w:trHeight w:val="413"/>
        </w:trPr>
        <w:tc>
          <w:tcPr>
            <w:tcW w:w="2822" w:type="dxa"/>
            <w:shd w:val="clear" w:color="auto" w:fill="auto"/>
          </w:tcPr>
          <w:p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9D4460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AE" w:rsidRDefault="00CA5DAE">
      <w:r>
        <w:separator/>
      </w:r>
    </w:p>
  </w:endnote>
  <w:endnote w:type="continuationSeparator" w:id="0">
    <w:p w:rsidR="00CA5DAE" w:rsidRDefault="00CA5DAE">
      <w:r>
        <w:continuationSeparator/>
      </w:r>
    </w:p>
  </w:endnote>
  <w:endnote w:type="continuationNotice" w:id="1">
    <w:p w:rsidR="00CA5DAE" w:rsidRDefault="00CA5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5C3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5C3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15C3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15C3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D15C36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5C3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5C3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15C3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15C3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AE" w:rsidRDefault="00CA5DAE">
      <w:r>
        <w:separator/>
      </w:r>
    </w:p>
  </w:footnote>
  <w:footnote w:type="continuationSeparator" w:id="0">
    <w:p w:rsidR="00CA5DAE" w:rsidRDefault="00CA5DAE">
      <w:r>
        <w:continuationSeparator/>
      </w:r>
    </w:p>
  </w:footnote>
  <w:footnote w:type="continuationNotice" w:id="1">
    <w:p w:rsidR="00CA5DAE" w:rsidRDefault="00CA5D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CDA007B8"/>
    <w:lvl w:ilvl="0" w:tplc="6588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770E5C"/>
    <w:multiLevelType w:val="hybridMultilevel"/>
    <w:tmpl w:val="441A20D6"/>
    <w:lvl w:ilvl="0" w:tplc="0E2C2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01312">
      <w:start w:val="12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AE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C44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428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8A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AE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66B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6B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50E71"/>
    <w:multiLevelType w:val="hybridMultilevel"/>
    <w:tmpl w:val="6D76DB56"/>
    <w:lvl w:ilvl="0" w:tplc="F9221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41168"/>
    <w:multiLevelType w:val="hybridMultilevel"/>
    <w:tmpl w:val="6D76DB56"/>
    <w:lvl w:ilvl="0" w:tplc="F9221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1"/>
  </w:num>
  <w:num w:numId="11">
    <w:abstractNumId w:val="24"/>
  </w:num>
  <w:num w:numId="12">
    <w:abstractNumId w:val="22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7"/>
  </w:num>
  <w:num w:numId="16">
    <w:abstractNumId w:val="23"/>
  </w:num>
  <w:num w:numId="17">
    <w:abstractNumId w:val="28"/>
  </w:num>
  <w:num w:numId="18">
    <w:abstractNumId w:val="13"/>
  </w:num>
  <w:num w:numId="19">
    <w:abstractNumId w:val="14"/>
  </w:num>
  <w:num w:numId="20">
    <w:abstractNumId w:val="38"/>
  </w:num>
  <w:num w:numId="21">
    <w:abstractNumId w:val="39"/>
  </w:num>
  <w:num w:numId="22">
    <w:abstractNumId w:val="12"/>
  </w:num>
  <w:num w:numId="23">
    <w:abstractNumId w:val="5"/>
  </w:num>
  <w:num w:numId="24">
    <w:abstractNumId w:val="40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7"/>
  </w:num>
  <w:num w:numId="32">
    <w:abstractNumId w:val="33"/>
  </w:num>
  <w:num w:numId="33">
    <w:abstractNumId w:val="32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5"/>
  </w:num>
  <w:num w:numId="41">
    <w:abstractNumId w:val="11"/>
  </w:num>
  <w:num w:numId="42">
    <w:abstractNumId w:val="21"/>
  </w:num>
  <w:num w:numId="43">
    <w:abstractNumId w:val="36"/>
  </w:num>
  <w:num w:numId="44">
    <w:abstractNumId w:val="34"/>
  </w:num>
  <w:num w:numId="45">
    <w:abstractNumId w:val="26"/>
  </w:num>
  <w:num w:numId="46">
    <w:abstractNumId w:val="2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305C"/>
    <w:rsid w:val="0001751D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717"/>
    <w:rsid w:val="000748A9"/>
    <w:rsid w:val="0008288C"/>
    <w:rsid w:val="00083AE8"/>
    <w:rsid w:val="00085A8B"/>
    <w:rsid w:val="00086A6F"/>
    <w:rsid w:val="0009110F"/>
    <w:rsid w:val="00093A7B"/>
    <w:rsid w:val="00097A66"/>
    <w:rsid w:val="000A0D2E"/>
    <w:rsid w:val="000A6761"/>
    <w:rsid w:val="000A7DEE"/>
    <w:rsid w:val="000B40D4"/>
    <w:rsid w:val="000C55EB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3A98"/>
    <w:rsid w:val="001352B8"/>
    <w:rsid w:val="00140D24"/>
    <w:rsid w:val="00143B1A"/>
    <w:rsid w:val="0014590B"/>
    <w:rsid w:val="0014734F"/>
    <w:rsid w:val="00147E56"/>
    <w:rsid w:val="00163F15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C7D55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6D9A"/>
    <w:rsid w:val="00327C1D"/>
    <w:rsid w:val="00332D55"/>
    <w:rsid w:val="00333786"/>
    <w:rsid w:val="00340136"/>
    <w:rsid w:val="00340854"/>
    <w:rsid w:val="00350C01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C616D"/>
    <w:rsid w:val="003D4127"/>
    <w:rsid w:val="003D6A15"/>
    <w:rsid w:val="003E0651"/>
    <w:rsid w:val="003E4A65"/>
    <w:rsid w:val="00400345"/>
    <w:rsid w:val="00403933"/>
    <w:rsid w:val="00411E26"/>
    <w:rsid w:val="004130CF"/>
    <w:rsid w:val="00414DA3"/>
    <w:rsid w:val="00425CAA"/>
    <w:rsid w:val="004459AC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C69E8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1129F"/>
    <w:rsid w:val="0051181E"/>
    <w:rsid w:val="005127C1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CB1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E5EE4"/>
    <w:rsid w:val="006F3006"/>
    <w:rsid w:val="006F410D"/>
    <w:rsid w:val="006F430C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36E4"/>
    <w:rsid w:val="00735A27"/>
    <w:rsid w:val="00736DFC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55A"/>
    <w:rsid w:val="007E27B1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5895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7401B"/>
    <w:rsid w:val="00880708"/>
    <w:rsid w:val="00881532"/>
    <w:rsid w:val="0088269B"/>
    <w:rsid w:val="00884A9D"/>
    <w:rsid w:val="008874A9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E75E5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1488F"/>
    <w:rsid w:val="0092729E"/>
    <w:rsid w:val="00930E10"/>
    <w:rsid w:val="00933D1D"/>
    <w:rsid w:val="00933FFF"/>
    <w:rsid w:val="00934CBF"/>
    <w:rsid w:val="00943C7F"/>
    <w:rsid w:val="0094467A"/>
    <w:rsid w:val="009465BD"/>
    <w:rsid w:val="00951110"/>
    <w:rsid w:val="00952F86"/>
    <w:rsid w:val="00953399"/>
    <w:rsid w:val="00954D24"/>
    <w:rsid w:val="00955FB5"/>
    <w:rsid w:val="009615FF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C68EC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4F4A"/>
    <w:rsid w:val="00A1686E"/>
    <w:rsid w:val="00A20247"/>
    <w:rsid w:val="00A25B79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534A"/>
    <w:rsid w:val="00AE37B2"/>
    <w:rsid w:val="00AF7F35"/>
    <w:rsid w:val="00B02EBA"/>
    <w:rsid w:val="00B108B0"/>
    <w:rsid w:val="00B1421D"/>
    <w:rsid w:val="00B17D94"/>
    <w:rsid w:val="00B22D03"/>
    <w:rsid w:val="00B25D1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6543A"/>
    <w:rsid w:val="00B76D97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BF7B31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842BF"/>
    <w:rsid w:val="00C87109"/>
    <w:rsid w:val="00C920CC"/>
    <w:rsid w:val="00C93FFD"/>
    <w:rsid w:val="00C944D1"/>
    <w:rsid w:val="00CA07FE"/>
    <w:rsid w:val="00CA4097"/>
    <w:rsid w:val="00CA5DAE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D00177"/>
    <w:rsid w:val="00D01811"/>
    <w:rsid w:val="00D023A5"/>
    <w:rsid w:val="00D10E07"/>
    <w:rsid w:val="00D15C36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2720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2D16"/>
    <w:rsid w:val="00DD4242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4249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EF3E0F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085A"/>
    <w:rsid w:val="00FC1797"/>
    <w:rsid w:val="00FC1CDD"/>
    <w:rsid w:val="00FC41D0"/>
    <w:rsid w:val="00FD0F07"/>
    <w:rsid w:val="00FD2BA6"/>
    <w:rsid w:val="00FD61A6"/>
    <w:rsid w:val="00FE6EAF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styleId="Enfasigrassetto">
    <w:name w:val="Strong"/>
    <w:basedOn w:val="Carpredefinitoparagrafo"/>
    <w:uiPriority w:val="22"/>
    <w:qFormat/>
    <w:rsid w:val="004C6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styleId="Enfasigrassetto">
    <w:name w:val="Strong"/>
    <w:basedOn w:val="Carpredefinitoparagrafo"/>
    <w:uiPriority w:val="22"/>
    <w:qFormat/>
    <w:rsid w:val="004C6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2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3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15">
          <w:marLeft w:val="10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35">
          <w:marLeft w:val="10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sbs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C3C7-F725-4061-BADA-0DE61ED2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2019-05-23T10:02:00Z</dcterms:created>
  <dcterms:modified xsi:type="dcterms:W3CDTF">2019-05-23T10:03:00Z</dcterms:modified>
</cp:coreProperties>
</file>