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26" w:rsidRPr="000753BE" w:rsidRDefault="00A54B26">
      <w:pPr>
        <w:pStyle w:val="TitoloDocumento"/>
        <w:rPr>
          <w:rFonts w:ascii="Trebuchet MS" w:hAnsi="Trebuchet MS"/>
          <w:color w:val="000080"/>
          <w:sz w:val="36"/>
          <w:szCs w:val="36"/>
        </w:rPr>
      </w:pPr>
      <w:r w:rsidRPr="000753BE">
        <w:rPr>
          <w:rFonts w:ascii="Trebuchet MS" w:hAnsi="Trebuchet MS"/>
          <w:color w:val="000080"/>
          <w:sz w:val="36"/>
          <w:szCs w:val="36"/>
        </w:rPr>
        <w:t>Scheda informativa gare</w:t>
      </w:r>
    </w:p>
    <w:p w:rsidR="00A54B26" w:rsidRDefault="00A54B26">
      <w:pPr>
        <w:pStyle w:val="TitoloDocumento"/>
        <w:rPr>
          <w:rFonts w:ascii="Trebuchet MS" w:hAnsi="Trebuchet MS"/>
          <w:sz w:val="36"/>
          <w:szCs w:val="36"/>
        </w:rPr>
      </w:pPr>
    </w:p>
    <w:p w:rsidR="00A54B26" w:rsidRPr="005F570A" w:rsidRDefault="00A54B26">
      <w:pPr>
        <w:pStyle w:val="TitoloDocumento"/>
        <w:spacing w:line="360" w:lineRule="auto"/>
        <w:rPr>
          <w:rFonts w:ascii="Trebuchet MS" w:hAnsi="Trebuchet MS"/>
          <w:sz w:val="36"/>
          <w:szCs w:val="36"/>
        </w:rPr>
      </w:pPr>
    </w:p>
    <w:p w:rsidR="00A54B26" w:rsidRPr="00755AB9" w:rsidRDefault="00A54B26">
      <w:pPr>
        <w:pStyle w:val="TitoloDocumento2"/>
        <w:spacing w:line="360" w:lineRule="auto"/>
        <w:rPr>
          <w:rFonts w:ascii="Trebuchet MS" w:hAnsi="Trebuchet MS"/>
        </w:rPr>
      </w:pPr>
    </w:p>
    <w:tbl>
      <w:tblPr>
        <w:tblW w:w="8468" w:type="dxa"/>
        <w:tblInd w:w="-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1"/>
      </w:tblPr>
      <w:tblGrid>
        <w:gridCol w:w="8468"/>
      </w:tblGrid>
      <w:tr w:rsidR="00A54B26" w:rsidRPr="00E03D32" w:rsidTr="00E03D32">
        <w:trPr>
          <w:cantSplit/>
          <w:trHeight w:hRule="exact" w:val="400"/>
        </w:trPr>
        <w:tc>
          <w:tcPr>
            <w:tcW w:w="8468" w:type="dxa"/>
            <w:tcBorders>
              <w:top w:val="nil"/>
              <w:left w:val="nil"/>
              <w:bottom w:val="single" w:sz="12" w:space="0" w:color="000080"/>
              <w:tl2br w:val="nil"/>
            </w:tcBorders>
            <w:shd w:val="clear" w:color="auto" w:fill="auto"/>
            <w:vAlign w:val="bottom"/>
          </w:tcPr>
          <w:p w:rsidR="00A54B26" w:rsidRPr="00E03D32" w:rsidRDefault="00A54B26">
            <w:pPr>
              <w:pStyle w:val="tabella"/>
              <w:rPr>
                <w:b/>
              </w:rPr>
            </w:pPr>
            <w:r w:rsidRPr="00E03D32">
              <w:rPr>
                <w:b/>
              </w:rPr>
              <w:t>INFORMAZIONI IDENTIFICATIVE</w:t>
            </w:r>
          </w:p>
          <w:p w:rsidR="00A54B26" w:rsidRPr="00E03D32" w:rsidRDefault="00A54B26">
            <w:pPr>
              <w:pStyle w:val="tabella"/>
              <w:rPr>
                <w:b/>
              </w:rPr>
            </w:pPr>
            <w:r w:rsidRPr="00E03D32">
              <w:rPr>
                <w:b/>
              </w:rPr>
              <w:t xml:space="preserve">                                          </w:t>
            </w:r>
          </w:p>
        </w:tc>
      </w:tr>
      <w:tr w:rsidR="00A54B26" w:rsidRPr="00E03D32" w:rsidTr="00267F26">
        <w:trPr>
          <w:cantSplit/>
          <w:trHeight w:hRule="exact" w:val="657"/>
        </w:trPr>
        <w:tc>
          <w:tcPr>
            <w:tcW w:w="8468" w:type="dxa"/>
            <w:tcBorders>
              <w:top w:val="single" w:sz="12" w:space="0" w:color="000080"/>
              <w:bottom w:val="single" w:sz="2" w:space="0" w:color="002776"/>
            </w:tcBorders>
            <w:shd w:val="clear" w:color="auto" w:fill="auto"/>
            <w:vAlign w:val="center"/>
          </w:tcPr>
          <w:p w:rsidR="00A54B26" w:rsidRPr="00E03D32" w:rsidRDefault="00A54B26" w:rsidP="00E03D32">
            <w:pPr>
              <w:spacing w:line="360" w:lineRule="auto"/>
              <w:rPr>
                <w:rFonts w:ascii="Trebuchet MS" w:eastAsia="Times" w:hAnsi="Trebuchet MS"/>
                <w:b/>
                <w:iCs/>
                <w:color w:val="112872"/>
                <w:sz w:val="20"/>
                <w:szCs w:val="20"/>
              </w:rPr>
            </w:pPr>
            <w:r w:rsidRPr="00E03D32">
              <w:rPr>
                <w:rFonts w:ascii="Trebuchet MS" w:eastAsia="Times" w:hAnsi="Trebuchet MS"/>
                <w:b/>
                <w:iCs/>
                <w:color w:val="000080"/>
                <w:sz w:val="20"/>
                <w:szCs w:val="20"/>
              </w:rPr>
              <w:t>Data di aggiudicazione della gara:</w:t>
            </w:r>
          </w:p>
        </w:tc>
      </w:tr>
      <w:tr w:rsidR="00A54B26" w:rsidRPr="00E03D32" w:rsidTr="00E03D32">
        <w:trPr>
          <w:cantSplit/>
          <w:trHeight w:hRule="exact" w:val="2461"/>
        </w:trPr>
        <w:tc>
          <w:tcPr>
            <w:tcW w:w="8468" w:type="dxa"/>
            <w:tcBorders>
              <w:top w:val="single" w:sz="2" w:space="0" w:color="002776"/>
              <w:bottom w:val="single" w:sz="2" w:space="0" w:color="002776"/>
            </w:tcBorders>
            <w:shd w:val="clear" w:color="auto" w:fill="auto"/>
            <w:vAlign w:val="center"/>
          </w:tcPr>
          <w:p w:rsidR="00A54B26" w:rsidRPr="00267F26" w:rsidRDefault="00A54B26" w:rsidP="00E03D32">
            <w:pPr>
              <w:spacing w:line="360" w:lineRule="auto"/>
              <w:jc w:val="both"/>
              <w:rPr>
                <w:rFonts w:ascii="Trebuchet MS" w:eastAsia="Times" w:hAnsi="Trebuchet MS"/>
                <w:color w:val="112872"/>
                <w:sz w:val="20"/>
                <w:szCs w:val="20"/>
              </w:rPr>
            </w:pPr>
            <w:r w:rsidRPr="00E03D32">
              <w:rPr>
                <w:rFonts w:ascii="Trebuchet MS" w:eastAsia="Times" w:hAnsi="Trebuchet MS"/>
                <w:b/>
                <w:iCs/>
                <w:color w:val="000080"/>
                <w:sz w:val="20"/>
                <w:szCs w:val="20"/>
              </w:rPr>
              <w:t xml:space="preserve">Estremi della gara: </w:t>
            </w:r>
            <w:r w:rsidR="00510D7A" w:rsidRPr="00267F26">
              <w:rPr>
                <w:rFonts w:ascii="Trebuchet MS" w:eastAsia="Times" w:hAnsi="Trebuchet MS"/>
                <w:color w:val="112872"/>
                <w:sz w:val="20"/>
                <w:szCs w:val="20"/>
              </w:rPr>
              <w:t xml:space="preserve">Gara comunitaria a procedura aperta, ai sensi dell’art. 54 del </w:t>
            </w:r>
            <w:proofErr w:type="spellStart"/>
            <w:r w:rsidR="00510D7A" w:rsidRPr="00267F26">
              <w:rPr>
                <w:rFonts w:ascii="Trebuchet MS" w:eastAsia="Times" w:hAnsi="Trebuchet MS"/>
                <w:color w:val="112872"/>
                <w:sz w:val="20"/>
                <w:szCs w:val="20"/>
              </w:rPr>
              <w:t>D.Lgs.</w:t>
            </w:r>
            <w:proofErr w:type="spellEnd"/>
            <w:r w:rsidR="00510D7A" w:rsidRPr="00267F26">
              <w:rPr>
                <w:rFonts w:ascii="Trebuchet MS" w:eastAsia="Times" w:hAnsi="Trebuchet MS"/>
                <w:color w:val="112872"/>
                <w:sz w:val="20"/>
                <w:szCs w:val="20"/>
              </w:rPr>
              <w:t xml:space="preserve"> n. 163/2006 per la fornitura di carburante per autotrazione mediante </w:t>
            </w:r>
            <w:proofErr w:type="spellStart"/>
            <w:r w:rsidR="00553F8C">
              <w:rPr>
                <w:rFonts w:ascii="Trebuchet MS" w:eastAsia="Times" w:hAnsi="Trebuchet MS"/>
                <w:color w:val="112872"/>
                <w:sz w:val="20"/>
                <w:szCs w:val="20"/>
              </w:rPr>
              <w:t>fuel</w:t>
            </w:r>
            <w:proofErr w:type="spellEnd"/>
            <w:r w:rsidR="00553F8C">
              <w:rPr>
                <w:rFonts w:ascii="Trebuchet MS" w:eastAsia="Times" w:hAnsi="Trebuchet MS"/>
                <w:color w:val="112872"/>
                <w:sz w:val="20"/>
                <w:szCs w:val="20"/>
              </w:rPr>
              <w:t xml:space="preserve"> card</w:t>
            </w:r>
            <w:r w:rsidR="00510D7A" w:rsidRPr="00267F26">
              <w:rPr>
                <w:rFonts w:ascii="Trebuchet MS" w:eastAsia="Times" w:hAnsi="Trebuchet MS"/>
                <w:color w:val="112872"/>
                <w:sz w:val="20"/>
                <w:szCs w:val="20"/>
              </w:rPr>
              <w:t xml:space="preserve"> e dei servizi connessi per le Pubbliche Amministrazioni, suddivisa in n. </w:t>
            </w:r>
            <w:r w:rsidR="00553F8C">
              <w:rPr>
                <w:rFonts w:ascii="Trebuchet MS" w:eastAsia="Times" w:hAnsi="Trebuchet MS"/>
                <w:color w:val="112872"/>
                <w:sz w:val="20"/>
                <w:szCs w:val="20"/>
              </w:rPr>
              <w:t>5</w:t>
            </w:r>
            <w:r w:rsidR="00510D7A" w:rsidRPr="00267F26">
              <w:rPr>
                <w:rFonts w:ascii="Trebuchet MS" w:eastAsia="Times" w:hAnsi="Trebuchet MS"/>
                <w:color w:val="112872"/>
                <w:sz w:val="20"/>
                <w:szCs w:val="20"/>
              </w:rPr>
              <w:t xml:space="preserve"> lotti </w:t>
            </w:r>
            <w:r w:rsidR="00553F8C">
              <w:rPr>
                <w:rFonts w:ascii="Trebuchet MS" w:eastAsia="Times" w:hAnsi="Trebuchet MS"/>
                <w:color w:val="112872"/>
                <w:sz w:val="20"/>
                <w:szCs w:val="20"/>
              </w:rPr>
              <w:t>territoriali</w:t>
            </w:r>
            <w:r w:rsidR="00510D7A" w:rsidRPr="00267F26">
              <w:rPr>
                <w:rFonts w:ascii="Trebuchet MS" w:eastAsia="Times" w:hAnsi="Trebuchet MS"/>
                <w:color w:val="112872"/>
                <w:sz w:val="20"/>
                <w:szCs w:val="20"/>
              </w:rPr>
              <w:t xml:space="preserve">, di cui al Bando di gara pubblicato sulla </w:t>
            </w:r>
            <w:r w:rsidR="00BB3470" w:rsidRPr="00BB3470">
              <w:rPr>
                <w:rFonts w:ascii="Trebuchet MS" w:eastAsia="Times" w:hAnsi="Trebuchet MS"/>
                <w:color w:val="112872"/>
                <w:sz w:val="20"/>
                <w:szCs w:val="20"/>
              </w:rPr>
              <w:t>Gazzetta Ufficiale dell’Unione Europea n. S-84 del 02/05/2012 e sulla Gazzetta Ufficiale della Repubblica Italiana n. 49 del 30/04/2012</w:t>
            </w:r>
            <w:r w:rsidR="00510D7A" w:rsidRPr="00267F26">
              <w:rPr>
                <w:rFonts w:ascii="Trebuchet MS" w:eastAsia="Times" w:hAnsi="Trebuchet MS"/>
                <w:color w:val="112872"/>
                <w:sz w:val="20"/>
                <w:szCs w:val="20"/>
              </w:rPr>
              <w:t>.</w:t>
            </w:r>
          </w:p>
          <w:p w:rsidR="00510D7A" w:rsidRPr="00E03D32" w:rsidRDefault="00510D7A" w:rsidP="00E03D32">
            <w:pPr>
              <w:spacing w:line="360" w:lineRule="auto"/>
              <w:rPr>
                <w:rFonts w:ascii="Trebuchet MS" w:eastAsia="Times" w:hAnsi="Trebuchet MS"/>
                <w:b/>
                <w:color w:val="112872"/>
                <w:sz w:val="20"/>
                <w:szCs w:val="20"/>
              </w:rPr>
            </w:pPr>
          </w:p>
          <w:p w:rsidR="00510D7A" w:rsidRPr="00E03D32" w:rsidRDefault="00510D7A" w:rsidP="00E03D32">
            <w:pPr>
              <w:spacing w:line="360" w:lineRule="auto"/>
              <w:rPr>
                <w:rFonts w:ascii="Trebuchet MS" w:eastAsia="Times" w:hAnsi="Trebuchet MS"/>
                <w:b/>
                <w:color w:val="112872"/>
                <w:sz w:val="20"/>
                <w:szCs w:val="20"/>
              </w:rPr>
            </w:pPr>
          </w:p>
          <w:p w:rsidR="00510D7A" w:rsidRPr="00E03D32" w:rsidRDefault="00510D7A" w:rsidP="00E03D32">
            <w:pPr>
              <w:spacing w:line="360" w:lineRule="auto"/>
              <w:rPr>
                <w:rFonts w:ascii="Trebuchet MS" w:eastAsia="Times" w:hAnsi="Trebuchet MS"/>
                <w:b/>
                <w:color w:val="112872"/>
                <w:sz w:val="20"/>
                <w:szCs w:val="20"/>
              </w:rPr>
            </w:pPr>
          </w:p>
          <w:p w:rsidR="00510D7A" w:rsidRPr="00E03D32" w:rsidRDefault="00510D7A" w:rsidP="00E03D32">
            <w:pPr>
              <w:spacing w:line="360" w:lineRule="auto"/>
              <w:rPr>
                <w:rFonts w:ascii="Trebuchet MS" w:eastAsia="Times" w:hAnsi="Trebuchet MS"/>
                <w:b/>
                <w:color w:val="112872"/>
                <w:sz w:val="20"/>
                <w:szCs w:val="20"/>
              </w:rPr>
            </w:pPr>
          </w:p>
          <w:p w:rsidR="00A54B26" w:rsidRPr="00E03D32" w:rsidRDefault="00A54B26" w:rsidP="00E03D32">
            <w:pPr>
              <w:pStyle w:val="tabella"/>
              <w:ind w:left="0"/>
              <w:rPr>
                <w:b/>
                <w:lang w:val="it-IT"/>
              </w:rPr>
            </w:pPr>
          </w:p>
        </w:tc>
      </w:tr>
    </w:tbl>
    <w:p w:rsidR="00A54B26" w:rsidRDefault="00A54B26">
      <w:pPr>
        <w:spacing w:line="360" w:lineRule="auto"/>
        <w:rPr>
          <w:rFonts w:ascii="Trebuchet MS" w:hAnsi="Trebuchet MS"/>
        </w:rPr>
      </w:pPr>
    </w:p>
    <w:p w:rsidR="00A54B26" w:rsidRDefault="00A54B26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p w:rsidR="00FE3BEE" w:rsidRDefault="00FE3BEE">
      <w:pPr>
        <w:tabs>
          <w:tab w:val="left" w:pos="1340"/>
        </w:tabs>
        <w:spacing w:line="360" w:lineRule="auto"/>
      </w:pPr>
    </w:p>
    <w:tbl>
      <w:tblPr>
        <w:tblW w:w="8468" w:type="dxa"/>
        <w:tblInd w:w="-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1"/>
      </w:tblPr>
      <w:tblGrid>
        <w:gridCol w:w="8468"/>
      </w:tblGrid>
      <w:tr w:rsidR="00A54B26" w:rsidRPr="00E03D32" w:rsidTr="00E03D32">
        <w:trPr>
          <w:cantSplit/>
          <w:trHeight w:hRule="exact" w:val="400"/>
        </w:trPr>
        <w:tc>
          <w:tcPr>
            <w:tcW w:w="8468" w:type="dxa"/>
            <w:tcBorders>
              <w:top w:val="nil"/>
              <w:left w:val="nil"/>
              <w:bottom w:val="single" w:sz="12" w:space="0" w:color="000080"/>
              <w:tl2br w:val="nil"/>
            </w:tcBorders>
            <w:shd w:val="clear" w:color="auto" w:fill="auto"/>
            <w:vAlign w:val="center"/>
          </w:tcPr>
          <w:p w:rsidR="00A54B26" w:rsidRPr="00E03D32" w:rsidRDefault="00A54B26">
            <w:pPr>
              <w:pStyle w:val="tabella"/>
              <w:rPr>
                <w:b/>
                <w:lang w:val="it-IT"/>
              </w:rPr>
            </w:pPr>
            <w:r w:rsidRPr="00E03D32">
              <w:rPr>
                <w:b/>
                <w:lang w:val="it-IT"/>
              </w:rPr>
              <w:lastRenderedPageBreak/>
              <w:t>DESCRIZIONE DELL’INIZIATIVA</w:t>
            </w:r>
          </w:p>
          <w:p w:rsidR="00A54B26" w:rsidRPr="00E03D32" w:rsidRDefault="00A54B26">
            <w:pPr>
              <w:pStyle w:val="tabella"/>
              <w:rPr>
                <w:b/>
                <w:lang w:val="it-IT"/>
              </w:rPr>
            </w:pPr>
            <w:r w:rsidRPr="00E03D32">
              <w:rPr>
                <w:b/>
                <w:lang w:val="it-IT"/>
              </w:rPr>
              <w:t xml:space="preserve">                                          </w:t>
            </w:r>
          </w:p>
        </w:tc>
      </w:tr>
      <w:tr w:rsidR="00A54B26" w:rsidRPr="00267F26" w:rsidTr="00E03D32">
        <w:trPr>
          <w:cantSplit/>
          <w:trHeight w:hRule="exact" w:val="8294"/>
        </w:trPr>
        <w:tc>
          <w:tcPr>
            <w:tcW w:w="8468" w:type="dxa"/>
            <w:tcBorders>
              <w:top w:val="single" w:sz="1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553F8C" w:rsidRPr="00553F8C" w:rsidRDefault="00553F8C" w:rsidP="00553F8C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L'iniziativa ha l'obiettivo di soddisfare, tramite l'utilizzo di </w:t>
            </w:r>
            <w:proofErr w:type="spellStart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 Card, parte del fabbisogno di carburanti del parco autoveicoli delle Pubbliche Amministrazioni che si approvvigionano tramite la rete dei punti vendita stradali.</w:t>
            </w:r>
          </w:p>
          <w:p w:rsidR="00553F8C" w:rsidRPr="00553F8C" w:rsidRDefault="00553F8C" w:rsidP="00553F8C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Al fine di garantire un adeguato livello di servizio, corrispondente anche alla dislocazione delle Amministrazioni sul territorio, sono stati definiti dei criteri per massimizzare e diversificare i punti vendita utilizzabili.</w:t>
            </w:r>
          </w:p>
          <w:p w:rsidR="00553F8C" w:rsidRPr="00553F8C" w:rsidRDefault="00553F8C" w:rsidP="00553F8C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La gara è suddivisa in </w:t>
            </w:r>
            <w:r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cinque</w:t>
            </w: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 lotti territoriali.</w:t>
            </w:r>
          </w:p>
          <w:p w:rsidR="00553F8C" w:rsidRPr="00553F8C" w:rsidRDefault="00553F8C" w:rsidP="00553F8C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L’iniziativa prevede la consegna a domicilio delle </w:t>
            </w:r>
            <w:proofErr w:type="spellStart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 card e la possibilità di utilizzare le </w:t>
            </w:r>
            <w:proofErr w:type="spellStart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 Card su tutto il territorio nazionale coperto dalla rete distributiva del Fornitore aggiudicatario della convenzione.</w:t>
            </w:r>
          </w:p>
          <w:p w:rsidR="00553F8C" w:rsidRPr="00553F8C" w:rsidRDefault="00553F8C" w:rsidP="00553F8C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La Convenzione ha durata di 24 mesi dall’attivazione e potrà essere prorogata fino ad un massimo di 6 mesi.</w:t>
            </w:r>
          </w:p>
          <w:p w:rsidR="00553F8C" w:rsidRPr="00553F8C" w:rsidRDefault="00553F8C" w:rsidP="00553F8C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Oggetto della gara è la fornitura, mediante </w:t>
            </w:r>
            <w:proofErr w:type="spellStart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 Card, di carburante per autotrazione e precisamente:</w:t>
            </w:r>
          </w:p>
          <w:p w:rsidR="00553F8C" w:rsidRPr="00553F8C" w:rsidRDefault="00553F8C" w:rsidP="00553F8C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□</w:t>
            </w: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ab/>
              <w:t xml:space="preserve">Benzina Super Senza Piombo (Norma </w:t>
            </w:r>
            <w:proofErr w:type="spellStart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 228);</w:t>
            </w:r>
          </w:p>
          <w:p w:rsidR="00553F8C" w:rsidRPr="00553F8C" w:rsidRDefault="00553F8C" w:rsidP="00553F8C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□</w:t>
            </w: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ab/>
              <w:t xml:space="preserve">Gasolio (Norma </w:t>
            </w:r>
            <w:proofErr w:type="spellStart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 590);</w:t>
            </w:r>
          </w:p>
          <w:p w:rsidR="00553F8C" w:rsidRPr="00553F8C" w:rsidRDefault="00553F8C" w:rsidP="00553F8C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□</w:t>
            </w: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ab/>
              <w:t xml:space="preserve">GPL (Norma </w:t>
            </w:r>
            <w:proofErr w:type="spellStart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 589);</w:t>
            </w:r>
          </w:p>
          <w:p w:rsidR="00A54B26" w:rsidRPr="00267F26" w:rsidRDefault="00553F8C" w:rsidP="00267F26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unitamente alla prestazione dei servizi connessi di </w:t>
            </w:r>
            <w:proofErr w:type="spellStart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>call</w:t>
            </w:r>
            <w:proofErr w:type="spellEnd"/>
            <w:r w:rsidRPr="00553F8C"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  <w:t xml:space="preserve"> center e reportistica, il tutto a favore delle Amministrazioni che utilizzeranno la Convenzione medesima mediante gli Ordinativi di Fornitura.</w:t>
            </w:r>
          </w:p>
          <w:p w:rsidR="00A54B26" w:rsidRPr="00267F26" w:rsidRDefault="00A54B26" w:rsidP="00267F26">
            <w:pPr>
              <w:spacing w:line="360" w:lineRule="auto"/>
              <w:jc w:val="both"/>
              <w:rPr>
                <w:rFonts w:ascii="Trebuchet MS" w:eastAsia="Times" w:hAnsi="Trebuchet MS"/>
                <w:iCs/>
                <w:color w:val="000080"/>
                <w:sz w:val="20"/>
                <w:szCs w:val="20"/>
              </w:rPr>
            </w:pPr>
          </w:p>
        </w:tc>
      </w:tr>
    </w:tbl>
    <w:p w:rsidR="00A54B26" w:rsidRPr="00FE3BEE" w:rsidRDefault="00A54B26">
      <w:pPr>
        <w:tabs>
          <w:tab w:val="left" w:pos="1340"/>
        </w:tabs>
        <w:rPr>
          <w:rFonts w:ascii="Trebuchet MS" w:hAnsi="Trebuchet MS"/>
        </w:rPr>
      </w:pPr>
    </w:p>
    <w:p w:rsidR="00A54B26" w:rsidRPr="00FE3BEE" w:rsidRDefault="00A54B26">
      <w:pPr>
        <w:tabs>
          <w:tab w:val="left" w:pos="1340"/>
        </w:tabs>
        <w:rPr>
          <w:rFonts w:ascii="Trebuchet MS" w:hAnsi="Trebuchet MS"/>
        </w:rPr>
      </w:pPr>
    </w:p>
    <w:p w:rsidR="00A54B26" w:rsidRDefault="00A54B26">
      <w:pPr>
        <w:tabs>
          <w:tab w:val="left" w:pos="1340"/>
        </w:tabs>
        <w:rPr>
          <w:rFonts w:ascii="Trebuchet MS" w:hAnsi="Trebuchet MS"/>
        </w:rPr>
      </w:pPr>
    </w:p>
    <w:p w:rsidR="00FE3BEE" w:rsidRDefault="00FE3BEE">
      <w:pPr>
        <w:tabs>
          <w:tab w:val="left" w:pos="1340"/>
        </w:tabs>
        <w:rPr>
          <w:rFonts w:ascii="Trebuchet MS" w:hAnsi="Trebuchet MS"/>
        </w:rPr>
      </w:pPr>
    </w:p>
    <w:p w:rsidR="00FE3BEE" w:rsidRDefault="00FE3BEE">
      <w:pPr>
        <w:tabs>
          <w:tab w:val="left" w:pos="1340"/>
        </w:tabs>
        <w:rPr>
          <w:rFonts w:ascii="Trebuchet MS" w:hAnsi="Trebuchet MS"/>
        </w:rPr>
      </w:pPr>
    </w:p>
    <w:p w:rsidR="00FE3BEE" w:rsidRPr="00FE3BEE" w:rsidRDefault="00FE3BEE">
      <w:pPr>
        <w:tabs>
          <w:tab w:val="left" w:pos="1340"/>
        </w:tabs>
        <w:rPr>
          <w:rFonts w:ascii="Trebuchet MS" w:hAnsi="Trebuchet MS"/>
        </w:rPr>
      </w:pPr>
    </w:p>
    <w:p w:rsidR="00A54B26" w:rsidRDefault="00A54B26">
      <w:pPr>
        <w:tabs>
          <w:tab w:val="left" w:pos="1340"/>
        </w:tabs>
      </w:pPr>
    </w:p>
    <w:p w:rsidR="00A54B26" w:rsidRDefault="00A54B26">
      <w:pPr>
        <w:tabs>
          <w:tab w:val="left" w:pos="1340"/>
        </w:tabs>
      </w:pPr>
    </w:p>
    <w:p w:rsidR="00FE3BEE" w:rsidRDefault="00FE3BEE">
      <w:pPr>
        <w:tabs>
          <w:tab w:val="left" w:pos="1340"/>
        </w:tabs>
      </w:pPr>
    </w:p>
    <w:p w:rsidR="00FE3BEE" w:rsidRDefault="00FE3BEE">
      <w:pPr>
        <w:tabs>
          <w:tab w:val="left" w:pos="1340"/>
        </w:tabs>
      </w:pPr>
    </w:p>
    <w:p w:rsidR="00FE3BEE" w:rsidRDefault="00FE3BEE">
      <w:pPr>
        <w:tabs>
          <w:tab w:val="left" w:pos="1340"/>
        </w:tabs>
      </w:pPr>
    </w:p>
    <w:p w:rsidR="00A54B26" w:rsidRDefault="00A54B26">
      <w:pPr>
        <w:tabs>
          <w:tab w:val="left" w:pos="1340"/>
        </w:tabs>
      </w:pPr>
    </w:p>
    <w:tbl>
      <w:tblPr>
        <w:tblStyle w:val="titolotabella"/>
        <w:tblW w:w="8468" w:type="dxa"/>
        <w:tblInd w:w="-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B1"/>
      </w:tblPr>
      <w:tblGrid>
        <w:gridCol w:w="3788"/>
        <w:gridCol w:w="4680"/>
      </w:tblGrid>
      <w:tr w:rsidR="00553F8C" w:rsidRPr="00553F8C" w:rsidTr="00AB0332">
        <w:trPr>
          <w:cnfStyle w:val="100000000000"/>
          <w:cantSplit/>
          <w:trHeight w:hRule="exact" w:val="400"/>
        </w:trPr>
        <w:tc>
          <w:tcPr>
            <w:tcW w:w="8468" w:type="dxa"/>
            <w:gridSpan w:val="2"/>
            <w:tcBorders>
              <w:top w:val="nil"/>
              <w:left w:val="nil"/>
              <w:bottom w:val="single" w:sz="12" w:space="0" w:color="000080"/>
            </w:tcBorders>
            <w:vAlign w:val="center"/>
          </w:tcPr>
          <w:p w:rsidR="00553F8C" w:rsidRPr="00553F8C" w:rsidRDefault="00553F8C" w:rsidP="00AB0332">
            <w:pPr>
              <w:pStyle w:val="tabella"/>
              <w:rPr>
                <w:sz w:val="2"/>
                <w:szCs w:val="2"/>
              </w:rPr>
            </w:pPr>
          </w:p>
          <w:p w:rsidR="00553F8C" w:rsidRPr="00553F8C" w:rsidRDefault="00553F8C" w:rsidP="00AB0332">
            <w:pPr>
              <w:pStyle w:val="tabella"/>
              <w:rPr>
                <w:sz w:val="2"/>
                <w:szCs w:val="2"/>
              </w:rPr>
            </w:pPr>
          </w:p>
          <w:p w:rsidR="00553F8C" w:rsidRPr="00553F8C" w:rsidRDefault="00553F8C" w:rsidP="00AB0332">
            <w:pPr>
              <w:pStyle w:val="tabella"/>
            </w:pPr>
            <w:r w:rsidRPr="00553F8C">
              <w:t>LOTTI DI FORNITURA</w:t>
            </w:r>
          </w:p>
          <w:p w:rsidR="00553F8C" w:rsidRPr="00553F8C" w:rsidRDefault="00553F8C" w:rsidP="00AB0332">
            <w:pPr>
              <w:pStyle w:val="tabella"/>
            </w:pPr>
            <w:r w:rsidRPr="00553F8C">
              <w:t xml:space="preserve">                                          </w:t>
            </w:r>
          </w:p>
        </w:tc>
      </w:tr>
      <w:tr w:rsidR="00553F8C" w:rsidRPr="00553F8C" w:rsidTr="00AB0332">
        <w:trPr>
          <w:cantSplit/>
          <w:trHeight w:hRule="exact" w:val="400"/>
        </w:trPr>
        <w:tc>
          <w:tcPr>
            <w:tcW w:w="3788" w:type="dxa"/>
            <w:tcBorders>
              <w:top w:val="single" w:sz="12" w:space="0" w:color="000080"/>
              <w:bottom w:val="single" w:sz="2" w:space="0" w:color="000080"/>
            </w:tcBorders>
            <w:vAlign w:val="center"/>
          </w:tcPr>
          <w:p w:rsidR="00553F8C" w:rsidRPr="00553F8C" w:rsidRDefault="00553F8C" w:rsidP="00AB0332">
            <w:pPr>
              <w:spacing w:line="360" w:lineRule="auto"/>
              <w:ind w:left="113" w:right="113"/>
              <w:rPr>
                <w:i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000080"/>
              <w:bottom w:val="single" w:sz="2" w:space="0" w:color="000080"/>
            </w:tcBorders>
            <w:vAlign w:val="bottom"/>
          </w:tcPr>
          <w:p w:rsidR="00553F8C" w:rsidRPr="00553F8C" w:rsidRDefault="00553F8C" w:rsidP="00AB0332">
            <w:pPr>
              <w:spacing w:line="360" w:lineRule="auto"/>
              <w:ind w:left="113" w:right="113"/>
              <w:rPr>
                <w:iCs/>
                <w:sz w:val="2"/>
                <w:szCs w:val="2"/>
              </w:rPr>
            </w:pPr>
          </w:p>
          <w:p w:rsidR="00553F8C" w:rsidRPr="00553F8C" w:rsidRDefault="00553F8C" w:rsidP="00AB0332">
            <w:pPr>
              <w:spacing w:line="360" w:lineRule="auto"/>
              <w:ind w:left="113" w:right="113"/>
              <w:rPr>
                <w:iCs/>
                <w:sz w:val="2"/>
                <w:szCs w:val="2"/>
              </w:rPr>
            </w:pPr>
          </w:p>
          <w:p w:rsidR="00553F8C" w:rsidRPr="00553F8C" w:rsidRDefault="00553F8C" w:rsidP="00AB0332">
            <w:pPr>
              <w:spacing w:line="360" w:lineRule="auto"/>
              <w:ind w:left="113" w:right="113"/>
              <w:rPr>
                <w:iCs/>
                <w:sz w:val="20"/>
                <w:szCs w:val="20"/>
              </w:rPr>
            </w:pPr>
            <w:r w:rsidRPr="00553F8C">
              <w:rPr>
                <w:iCs/>
                <w:sz w:val="20"/>
                <w:szCs w:val="20"/>
              </w:rPr>
              <w:t>Descrizione:</w:t>
            </w:r>
          </w:p>
        </w:tc>
      </w:tr>
      <w:tr w:rsidR="00553F8C" w:rsidRPr="00553F8C" w:rsidTr="00AB0332">
        <w:trPr>
          <w:cantSplit/>
        </w:trPr>
        <w:tc>
          <w:tcPr>
            <w:tcW w:w="3788" w:type="dxa"/>
            <w:tcBorders>
              <w:top w:val="single" w:sz="2" w:space="0" w:color="000080"/>
              <w:left w:val="nil"/>
              <w:bottom w:val="single" w:sz="2" w:space="0" w:color="000080"/>
            </w:tcBorders>
            <w:vAlign w:val="center"/>
          </w:tcPr>
          <w:p w:rsidR="00553F8C" w:rsidRPr="00553F8C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553F8C">
              <w:rPr>
                <w:iCs/>
                <w:color w:val="000080"/>
                <w:sz w:val="20"/>
                <w:szCs w:val="20"/>
              </w:rPr>
              <w:t>Lotto 1</w:t>
            </w:r>
          </w:p>
        </w:tc>
        <w:tc>
          <w:tcPr>
            <w:tcW w:w="4680" w:type="dxa"/>
            <w:tcBorders>
              <w:top w:val="single" w:sz="2" w:space="0" w:color="000080"/>
              <w:bottom w:val="single" w:sz="2" w:space="0" w:color="000080"/>
            </w:tcBorders>
          </w:tcPr>
          <w:p w:rsidR="00553F8C" w:rsidRPr="00553F8C" w:rsidRDefault="00553F8C" w:rsidP="00553F8C">
            <w:pPr>
              <w:keepNext/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53F8C">
              <w:rPr>
                <w:rFonts w:cs="Arial"/>
                <w:bCs/>
                <w:sz w:val="20"/>
                <w:szCs w:val="20"/>
              </w:rPr>
              <w:t>Lotto territoriale costituito dalle regioni: Piemonte, Valle d’Aosta, Liguria,</w:t>
            </w:r>
            <w:r w:rsidRPr="00553F8C">
              <w:rPr>
                <w:rFonts w:cs="Arial"/>
                <w:bCs/>
                <w:sz w:val="20"/>
                <w:szCs w:val="20"/>
              </w:rPr>
              <w:t xml:space="preserve"> Lombardi</w:t>
            </w:r>
            <w:r w:rsidRPr="00553F8C">
              <w:rPr>
                <w:rFonts w:cs="Arial"/>
                <w:bCs/>
                <w:sz w:val="20"/>
                <w:szCs w:val="20"/>
              </w:rPr>
              <w:t xml:space="preserve"> di quantitativo pari a </w:t>
            </w:r>
            <w:r w:rsidRPr="00553F8C">
              <w:rPr>
                <w:rFonts w:cs="Arial"/>
                <w:bCs/>
                <w:sz w:val="20"/>
                <w:szCs w:val="20"/>
              </w:rPr>
              <w:t>34,5</w:t>
            </w:r>
            <w:r w:rsidRPr="00553F8C">
              <w:rPr>
                <w:rFonts w:cs="Arial"/>
                <w:bCs/>
                <w:sz w:val="20"/>
                <w:szCs w:val="20"/>
              </w:rPr>
              <w:t xml:space="preserve"> milioni di litri.</w:t>
            </w:r>
          </w:p>
        </w:tc>
      </w:tr>
      <w:tr w:rsidR="00553F8C" w:rsidRPr="00553F8C" w:rsidTr="00AB0332">
        <w:trPr>
          <w:cantSplit/>
        </w:trPr>
        <w:tc>
          <w:tcPr>
            <w:tcW w:w="3788" w:type="dxa"/>
            <w:tcBorders>
              <w:top w:val="single" w:sz="2" w:space="0" w:color="000080"/>
              <w:left w:val="nil"/>
              <w:bottom w:val="single" w:sz="2" w:space="0" w:color="002776"/>
            </w:tcBorders>
            <w:vAlign w:val="center"/>
          </w:tcPr>
          <w:p w:rsidR="00553F8C" w:rsidRPr="00553F8C" w:rsidRDefault="00553F8C" w:rsidP="00553F8C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553F8C">
              <w:rPr>
                <w:iCs/>
                <w:color w:val="000080"/>
                <w:sz w:val="20"/>
                <w:szCs w:val="20"/>
              </w:rPr>
              <w:t xml:space="preserve">Lotto </w:t>
            </w:r>
            <w:r w:rsidRPr="00553F8C">
              <w:rPr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2" w:space="0" w:color="000080"/>
              <w:bottom w:val="single" w:sz="2" w:space="0" w:color="002776"/>
            </w:tcBorders>
          </w:tcPr>
          <w:p w:rsidR="00553F8C" w:rsidRPr="00553F8C" w:rsidRDefault="00553F8C" w:rsidP="00553F8C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53F8C">
              <w:rPr>
                <w:rFonts w:cs="Arial"/>
                <w:bCs/>
                <w:sz w:val="20"/>
                <w:szCs w:val="20"/>
              </w:rPr>
              <w:t xml:space="preserve">Lotto territoriale costituito dalle regioni: Trentino, Friuli, Veneto, di quantitativo pari a </w:t>
            </w:r>
            <w:r w:rsidRPr="00553F8C">
              <w:rPr>
                <w:rFonts w:cs="Arial"/>
                <w:bCs/>
                <w:sz w:val="20"/>
                <w:szCs w:val="20"/>
              </w:rPr>
              <w:t>22,7</w:t>
            </w:r>
            <w:r w:rsidRPr="00553F8C">
              <w:rPr>
                <w:rFonts w:cs="Arial"/>
                <w:bCs/>
                <w:sz w:val="20"/>
                <w:szCs w:val="20"/>
              </w:rPr>
              <w:t xml:space="preserve"> milioni di litri.</w:t>
            </w:r>
          </w:p>
        </w:tc>
      </w:tr>
      <w:tr w:rsidR="00553F8C" w:rsidRPr="00553F8C" w:rsidTr="00AB0332">
        <w:trPr>
          <w:cantSplit/>
        </w:trPr>
        <w:tc>
          <w:tcPr>
            <w:tcW w:w="3788" w:type="dxa"/>
            <w:tcBorders>
              <w:top w:val="single" w:sz="2" w:space="0" w:color="000080"/>
              <w:left w:val="nil"/>
              <w:bottom w:val="single" w:sz="2" w:space="0" w:color="000080"/>
            </w:tcBorders>
            <w:vAlign w:val="center"/>
          </w:tcPr>
          <w:p w:rsidR="00553F8C" w:rsidRPr="00553F8C" w:rsidRDefault="00553F8C" w:rsidP="00553F8C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553F8C">
              <w:rPr>
                <w:iCs/>
                <w:color w:val="000080"/>
                <w:sz w:val="20"/>
                <w:szCs w:val="20"/>
              </w:rPr>
              <w:t xml:space="preserve">Lotto </w:t>
            </w:r>
            <w:r w:rsidRPr="00553F8C">
              <w:rPr>
                <w:iCs/>
                <w:color w:val="00008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2" w:space="0" w:color="000080"/>
              <w:bottom w:val="single" w:sz="2" w:space="0" w:color="000080"/>
            </w:tcBorders>
          </w:tcPr>
          <w:p w:rsidR="00553F8C" w:rsidRPr="00553F8C" w:rsidRDefault="00553F8C" w:rsidP="00553F8C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53F8C">
              <w:rPr>
                <w:rFonts w:cs="Arial"/>
                <w:bCs/>
                <w:sz w:val="20"/>
                <w:szCs w:val="20"/>
              </w:rPr>
              <w:t xml:space="preserve">Lotto territoriale costituito dalle regioni: Emilia, Marche, Abruzzo, Molise, di quantitativo pari a </w:t>
            </w:r>
            <w:r w:rsidRPr="00553F8C">
              <w:rPr>
                <w:rFonts w:cs="Arial"/>
                <w:bCs/>
                <w:sz w:val="20"/>
                <w:szCs w:val="20"/>
              </w:rPr>
              <w:t>32,7</w:t>
            </w:r>
            <w:r w:rsidRPr="00553F8C">
              <w:rPr>
                <w:rFonts w:cs="Arial"/>
                <w:bCs/>
                <w:sz w:val="20"/>
                <w:szCs w:val="20"/>
              </w:rPr>
              <w:t xml:space="preserve"> milioni di litri.</w:t>
            </w:r>
          </w:p>
        </w:tc>
      </w:tr>
      <w:tr w:rsidR="00553F8C" w:rsidRPr="00553F8C" w:rsidTr="00AB0332">
        <w:trPr>
          <w:cantSplit/>
        </w:trPr>
        <w:tc>
          <w:tcPr>
            <w:tcW w:w="3788" w:type="dxa"/>
            <w:tcBorders>
              <w:top w:val="single" w:sz="2" w:space="0" w:color="000080"/>
              <w:left w:val="nil"/>
              <w:bottom w:val="single" w:sz="2" w:space="0" w:color="000080"/>
            </w:tcBorders>
            <w:vAlign w:val="center"/>
          </w:tcPr>
          <w:p w:rsidR="00553F8C" w:rsidRPr="00553F8C" w:rsidRDefault="00553F8C" w:rsidP="00553F8C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553F8C">
              <w:rPr>
                <w:iCs/>
                <w:color w:val="000080"/>
                <w:sz w:val="20"/>
                <w:szCs w:val="20"/>
              </w:rPr>
              <w:t xml:space="preserve">Lotto </w:t>
            </w:r>
            <w:r w:rsidRPr="00553F8C">
              <w:rPr>
                <w:iCs/>
                <w:color w:val="00008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2" w:space="0" w:color="000080"/>
              <w:bottom w:val="single" w:sz="2" w:space="0" w:color="000080"/>
            </w:tcBorders>
          </w:tcPr>
          <w:p w:rsidR="00553F8C" w:rsidRPr="00553F8C" w:rsidRDefault="00553F8C" w:rsidP="00553F8C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53F8C">
              <w:rPr>
                <w:rFonts w:cs="Arial"/>
                <w:bCs/>
                <w:sz w:val="20"/>
                <w:szCs w:val="20"/>
              </w:rPr>
              <w:t xml:space="preserve">Lotto territoriale costituito dalle regioni: Toscana, Umbria, Lazio, Campania, Sardegna, di quantitativo pari a </w:t>
            </w:r>
            <w:r w:rsidRPr="00553F8C">
              <w:rPr>
                <w:rFonts w:cs="Arial"/>
                <w:bCs/>
                <w:sz w:val="20"/>
                <w:szCs w:val="20"/>
              </w:rPr>
              <w:t>68,2</w:t>
            </w:r>
            <w:r w:rsidRPr="00553F8C">
              <w:rPr>
                <w:rFonts w:cs="Arial"/>
                <w:bCs/>
                <w:sz w:val="20"/>
                <w:szCs w:val="20"/>
              </w:rPr>
              <w:t xml:space="preserve"> milioni di litri.</w:t>
            </w:r>
          </w:p>
        </w:tc>
      </w:tr>
      <w:tr w:rsidR="00553F8C" w:rsidRPr="00553F8C" w:rsidTr="00AB0332">
        <w:trPr>
          <w:cantSplit/>
        </w:trPr>
        <w:tc>
          <w:tcPr>
            <w:tcW w:w="3788" w:type="dxa"/>
            <w:tcBorders>
              <w:top w:val="single" w:sz="2" w:space="0" w:color="000080"/>
              <w:left w:val="nil"/>
              <w:bottom w:val="single" w:sz="2" w:space="0" w:color="002776"/>
            </w:tcBorders>
            <w:vAlign w:val="center"/>
          </w:tcPr>
          <w:p w:rsidR="00553F8C" w:rsidRPr="00553F8C" w:rsidRDefault="00553F8C" w:rsidP="00553F8C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553F8C">
              <w:rPr>
                <w:iCs/>
                <w:color w:val="000080"/>
                <w:sz w:val="20"/>
                <w:szCs w:val="20"/>
              </w:rPr>
              <w:t xml:space="preserve">Lotto </w:t>
            </w:r>
            <w:r w:rsidRPr="00553F8C">
              <w:rPr>
                <w:iCs/>
                <w:color w:val="00008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2" w:space="0" w:color="000080"/>
              <w:bottom w:val="single" w:sz="2" w:space="0" w:color="002776"/>
            </w:tcBorders>
          </w:tcPr>
          <w:p w:rsidR="00553F8C" w:rsidRPr="00553F8C" w:rsidRDefault="00553F8C" w:rsidP="00553F8C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53F8C">
              <w:rPr>
                <w:rFonts w:cs="Arial"/>
                <w:bCs/>
                <w:sz w:val="20"/>
                <w:szCs w:val="20"/>
              </w:rPr>
              <w:t xml:space="preserve">Lotto territoriale costituito dalle regioni: Puglia, Calabria, Basilicata, Sicilia, di quantitativo pari a </w:t>
            </w:r>
            <w:r w:rsidRPr="00553F8C">
              <w:rPr>
                <w:rFonts w:cs="Arial"/>
                <w:bCs/>
                <w:sz w:val="20"/>
                <w:szCs w:val="20"/>
              </w:rPr>
              <w:t>39,1</w:t>
            </w:r>
            <w:r w:rsidRPr="00553F8C">
              <w:rPr>
                <w:rFonts w:cs="Arial"/>
                <w:bCs/>
                <w:sz w:val="20"/>
                <w:szCs w:val="20"/>
              </w:rPr>
              <w:t xml:space="preserve"> milioni di litri.</w:t>
            </w:r>
          </w:p>
        </w:tc>
      </w:tr>
    </w:tbl>
    <w:p w:rsidR="00A54B26" w:rsidRDefault="00A54B26">
      <w:pPr>
        <w:tabs>
          <w:tab w:val="left" w:pos="1340"/>
        </w:tabs>
      </w:pPr>
    </w:p>
    <w:p w:rsidR="00A54B26" w:rsidRDefault="00A54B26">
      <w:pPr>
        <w:tabs>
          <w:tab w:val="left" w:pos="1340"/>
        </w:tabs>
      </w:pPr>
    </w:p>
    <w:p w:rsidR="00A54B26" w:rsidRDefault="00A54B26">
      <w:pPr>
        <w:tabs>
          <w:tab w:val="left" w:pos="1340"/>
        </w:tabs>
      </w:pPr>
    </w:p>
    <w:p w:rsidR="00A54B26" w:rsidRDefault="00A54B26">
      <w:pPr>
        <w:tabs>
          <w:tab w:val="left" w:pos="1340"/>
        </w:tabs>
      </w:pPr>
    </w:p>
    <w:tbl>
      <w:tblPr>
        <w:tblStyle w:val="titolotabella"/>
        <w:tblW w:w="8468" w:type="dxa"/>
        <w:tblInd w:w="-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B1"/>
      </w:tblPr>
      <w:tblGrid>
        <w:gridCol w:w="4328"/>
        <w:gridCol w:w="4140"/>
      </w:tblGrid>
      <w:tr w:rsidR="00553F8C" w:rsidRPr="000753BE" w:rsidTr="00AB0332">
        <w:trPr>
          <w:cnfStyle w:val="100000000000"/>
          <w:cantSplit/>
          <w:trHeight w:hRule="exact" w:val="384"/>
        </w:trPr>
        <w:tc>
          <w:tcPr>
            <w:tcW w:w="8468" w:type="dxa"/>
            <w:gridSpan w:val="2"/>
            <w:tcBorders>
              <w:top w:val="nil"/>
              <w:left w:val="nil"/>
              <w:bottom w:val="single" w:sz="12" w:space="0" w:color="000080"/>
            </w:tcBorders>
            <w:vAlign w:val="bottom"/>
          </w:tcPr>
          <w:p w:rsidR="00553F8C" w:rsidRDefault="00553F8C" w:rsidP="00AB0332">
            <w:pPr>
              <w:pStyle w:val="tabella"/>
            </w:pPr>
            <w:r>
              <w:t>CRITERIO DI AGGIUDICAZIONE ADOTTATO PER IL LOTTO N. 1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 w:val="restart"/>
            <w:tcBorders>
              <w:top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rFonts w:eastAsia="Arial Unicode MS" w:hAnsi="Verdana" w:cs="Arial Unicode MS"/>
                <w:b w:val="0"/>
                <w:bCs/>
                <w:iCs/>
                <w:color w:val="000080"/>
                <w:sz w:val="20"/>
                <w:szCs w:val="20"/>
              </w:rPr>
              <w:t>⃞</w:t>
            </w:r>
            <w:r w:rsidRPr="000753BE">
              <w:rPr>
                <w:rFonts w:eastAsia="Arial Unicode MS" w:cs="Arial Unicode MS"/>
                <w:b w:val="0"/>
                <w:iCs/>
                <w:color w:val="000080"/>
                <w:sz w:val="20"/>
                <w:szCs w:val="20"/>
              </w:rPr>
              <w:t xml:space="preserve"> Prezzo più basso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  <w:r w:rsidRPr="00260D09">
              <w:rPr>
                <w:rFonts w:ascii="Verdana" w:eastAsia="Arial Unicode MS" w:hAnsi="Verdana" w:cs="Arial Unicode MS"/>
                <w:b w:val="0"/>
                <w:iCs/>
                <w:dstrike/>
                <w:color w:val="000080"/>
                <w:sz w:val="20"/>
                <w:szCs w:val="20"/>
              </w:rPr>
              <w:t>⃞</w:t>
            </w:r>
            <w:r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 xml:space="preserve"> Offerta economicamente più </w:t>
            </w:r>
            <w:r w:rsidRPr="000753BE"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>vantaggiosa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tecnici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25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tcBorders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economici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75</w:t>
            </w:r>
          </w:p>
        </w:tc>
      </w:tr>
      <w:tr w:rsidR="00553F8C" w:rsidRPr="00845FD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Nominativo vincitore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  <w:lang w:val="es-ES"/>
              </w:rPr>
            </w:pPr>
          </w:p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  <w:lang w:val="es-ES"/>
              </w:rPr>
            </w:pPr>
          </w:p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0"/>
                <w:szCs w:val="20"/>
                <w:lang w:val="es-ES"/>
              </w:rPr>
            </w:pPr>
            <w:r>
              <w:rPr>
                <w:b w:val="0"/>
                <w:iCs/>
                <w:color w:val="000080"/>
                <w:sz w:val="20"/>
                <w:szCs w:val="20"/>
                <w:lang w:val="es-ES"/>
              </w:rPr>
              <w:t>TotalErg</w:t>
            </w:r>
            <w:r w:rsidRPr="00845FDE">
              <w:rPr>
                <w:b w:val="0"/>
                <w:iCs/>
                <w:color w:val="000080"/>
                <w:sz w:val="20"/>
                <w:szCs w:val="20"/>
                <w:lang w:val="es-ES"/>
              </w:rPr>
              <w:t xml:space="preserve"> S.p.A.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Prezzo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845FDE" w:rsidRDefault="00553F8C" w:rsidP="00553F8C">
            <w:pPr>
              <w:keepNext/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Sconto di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0,075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Euro/litro sui prezzi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consigliati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>dei carburanti praticati alla pompa all’atto del prelievo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lastRenderedPageBreak/>
              <w:t>Caratteristiche del servizio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 per l’approvvigionamento di: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Benzina Super Senza Piombo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228);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Gasolio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590);</w:t>
            </w:r>
          </w:p>
          <w:p w:rsidR="00553F8C" w:rsidRPr="00845FDE" w:rsidRDefault="00553F8C" w:rsidP="00AB0332">
            <w:pPr>
              <w:pStyle w:val="Titolo8"/>
              <w:spacing w:before="0" w:after="0" w:line="192" w:lineRule="auto"/>
              <w:outlineLvl w:val="7"/>
              <w:rPr>
                <w:b w:val="0"/>
                <w:i w:val="0"/>
                <w:color w:val="000080"/>
                <w:sz w:val="20"/>
                <w:szCs w:val="20"/>
              </w:rPr>
            </w:pPr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□ GPL (Norma </w:t>
            </w:r>
            <w:proofErr w:type="spellStart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 589);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utilizzabili presso l’intera rete di punti vendita dell’aggiudicatario che accettano le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Card.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Servizi connessi di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call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center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e reportistica.</w:t>
            </w:r>
          </w:p>
        </w:tc>
      </w:tr>
    </w:tbl>
    <w:p w:rsidR="00553F8C" w:rsidRDefault="00553F8C" w:rsidP="00553F8C">
      <w:pPr>
        <w:tabs>
          <w:tab w:val="left" w:pos="1340"/>
        </w:tabs>
      </w:pPr>
    </w:p>
    <w:p w:rsidR="00553F8C" w:rsidRDefault="00553F8C" w:rsidP="00553F8C">
      <w:pPr>
        <w:tabs>
          <w:tab w:val="left" w:pos="1340"/>
        </w:tabs>
      </w:pPr>
      <w:r>
        <w:br w:type="page"/>
      </w:r>
    </w:p>
    <w:tbl>
      <w:tblPr>
        <w:tblStyle w:val="titolotabella"/>
        <w:tblW w:w="8468" w:type="dxa"/>
        <w:tblInd w:w="-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B1"/>
      </w:tblPr>
      <w:tblGrid>
        <w:gridCol w:w="4328"/>
        <w:gridCol w:w="4140"/>
      </w:tblGrid>
      <w:tr w:rsidR="00553F8C" w:rsidRPr="000753BE" w:rsidTr="00AB0332">
        <w:trPr>
          <w:cnfStyle w:val="100000000000"/>
          <w:cantSplit/>
          <w:trHeight w:hRule="exact" w:val="384"/>
        </w:trPr>
        <w:tc>
          <w:tcPr>
            <w:tcW w:w="8468" w:type="dxa"/>
            <w:gridSpan w:val="2"/>
            <w:tcBorders>
              <w:top w:val="nil"/>
              <w:left w:val="nil"/>
              <w:bottom w:val="single" w:sz="12" w:space="0" w:color="000080"/>
            </w:tcBorders>
            <w:vAlign w:val="bottom"/>
          </w:tcPr>
          <w:p w:rsidR="00553F8C" w:rsidRDefault="00553F8C" w:rsidP="00553F8C">
            <w:pPr>
              <w:pStyle w:val="tabella"/>
            </w:pPr>
            <w:r>
              <w:lastRenderedPageBreak/>
              <w:t>CRITERIO DI AGGIUDICAZIONE ADOTTATO PER IL LOTTO N. 2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 w:val="restart"/>
            <w:tcBorders>
              <w:top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rFonts w:eastAsia="Arial Unicode MS" w:hAnsi="Verdana" w:cs="Arial Unicode MS"/>
                <w:b w:val="0"/>
                <w:bCs/>
                <w:iCs/>
                <w:color w:val="000080"/>
                <w:sz w:val="20"/>
                <w:szCs w:val="20"/>
              </w:rPr>
              <w:t>⃞</w:t>
            </w:r>
            <w:r w:rsidRPr="000753BE">
              <w:rPr>
                <w:rFonts w:eastAsia="Arial Unicode MS" w:cs="Arial Unicode MS"/>
                <w:b w:val="0"/>
                <w:iCs/>
                <w:color w:val="000080"/>
                <w:sz w:val="20"/>
                <w:szCs w:val="20"/>
              </w:rPr>
              <w:t xml:space="preserve"> Prezzo più basso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  <w:r w:rsidRPr="00260D09">
              <w:rPr>
                <w:rFonts w:ascii="Verdana" w:eastAsia="Arial Unicode MS" w:hAnsi="Verdana" w:cs="Arial Unicode MS"/>
                <w:b w:val="0"/>
                <w:iCs/>
                <w:dstrike/>
                <w:color w:val="000080"/>
                <w:sz w:val="20"/>
                <w:szCs w:val="20"/>
              </w:rPr>
              <w:t>⃞</w:t>
            </w:r>
            <w:r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 xml:space="preserve"> Offerta economicamente più </w:t>
            </w:r>
            <w:r w:rsidRPr="000753BE"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>vantaggiosa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tecnici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25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tcBorders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economici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75</w:t>
            </w:r>
          </w:p>
        </w:tc>
      </w:tr>
      <w:tr w:rsidR="00553F8C" w:rsidRPr="00845FD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Nominativo vincitore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  <w:lang w:val="es-ES"/>
              </w:rPr>
            </w:pPr>
          </w:p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  <w:lang w:val="es-ES"/>
              </w:rPr>
            </w:pPr>
          </w:p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0"/>
                <w:szCs w:val="20"/>
                <w:lang w:val="es-ES"/>
              </w:rPr>
            </w:pPr>
            <w:r>
              <w:rPr>
                <w:b w:val="0"/>
                <w:iCs/>
                <w:color w:val="000080"/>
                <w:sz w:val="20"/>
                <w:szCs w:val="20"/>
                <w:lang w:val="es-ES"/>
              </w:rPr>
              <w:t>TotalErg</w:t>
            </w:r>
            <w:r w:rsidRPr="00845FDE">
              <w:rPr>
                <w:b w:val="0"/>
                <w:iCs/>
                <w:color w:val="000080"/>
                <w:sz w:val="20"/>
                <w:szCs w:val="20"/>
                <w:lang w:val="es-ES"/>
              </w:rPr>
              <w:t xml:space="preserve"> S.p.A.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Prezzo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845FDE" w:rsidRDefault="00553F8C" w:rsidP="00AB0332">
            <w:pPr>
              <w:keepNext/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Sconto di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0,075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Euro/litro sui prezzi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consigliati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>dei carburanti praticati alla pompa all’atto del prelievo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Caratteristiche del servizio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 per l’approvvigionamento di: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Benzina Super Senza Piombo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228);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Gasolio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590);</w:t>
            </w:r>
          </w:p>
          <w:p w:rsidR="00553F8C" w:rsidRPr="00845FDE" w:rsidRDefault="00553F8C" w:rsidP="00AB0332">
            <w:pPr>
              <w:pStyle w:val="Titolo8"/>
              <w:spacing w:before="0" w:after="0" w:line="192" w:lineRule="auto"/>
              <w:outlineLvl w:val="7"/>
              <w:rPr>
                <w:b w:val="0"/>
                <w:i w:val="0"/>
                <w:color w:val="000080"/>
                <w:sz w:val="20"/>
                <w:szCs w:val="20"/>
              </w:rPr>
            </w:pPr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□ GPL (Norma </w:t>
            </w:r>
            <w:proofErr w:type="spellStart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 589);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utilizzabili presso l’intera rete di punti vendita dell’aggiudicatario che accettano le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Card.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Servizi connessi di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call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center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e reportistica.</w:t>
            </w:r>
          </w:p>
        </w:tc>
      </w:tr>
    </w:tbl>
    <w:p w:rsidR="00553F8C" w:rsidRDefault="00553F8C" w:rsidP="00553F8C">
      <w:pPr>
        <w:tabs>
          <w:tab w:val="left" w:pos="1340"/>
        </w:tabs>
      </w:pPr>
    </w:p>
    <w:p w:rsidR="00553F8C" w:rsidRDefault="00553F8C" w:rsidP="00553F8C">
      <w:pPr>
        <w:tabs>
          <w:tab w:val="left" w:pos="1340"/>
        </w:tabs>
      </w:pPr>
      <w:r>
        <w:br w:type="page"/>
      </w:r>
    </w:p>
    <w:tbl>
      <w:tblPr>
        <w:tblStyle w:val="titolotabella"/>
        <w:tblW w:w="8468" w:type="dxa"/>
        <w:tblInd w:w="-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B1"/>
      </w:tblPr>
      <w:tblGrid>
        <w:gridCol w:w="4328"/>
        <w:gridCol w:w="4140"/>
      </w:tblGrid>
      <w:tr w:rsidR="00553F8C" w:rsidRPr="000753BE" w:rsidTr="00AB0332">
        <w:trPr>
          <w:cnfStyle w:val="100000000000"/>
          <w:cantSplit/>
          <w:trHeight w:hRule="exact" w:val="384"/>
        </w:trPr>
        <w:tc>
          <w:tcPr>
            <w:tcW w:w="8468" w:type="dxa"/>
            <w:gridSpan w:val="2"/>
            <w:tcBorders>
              <w:top w:val="nil"/>
              <w:left w:val="nil"/>
              <w:bottom w:val="single" w:sz="12" w:space="0" w:color="000080"/>
            </w:tcBorders>
            <w:vAlign w:val="bottom"/>
          </w:tcPr>
          <w:p w:rsidR="00553F8C" w:rsidRDefault="00553F8C" w:rsidP="00553F8C">
            <w:pPr>
              <w:pStyle w:val="tabella"/>
            </w:pPr>
            <w:r>
              <w:lastRenderedPageBreak/>
              <w:t>CRITERIO DI AGGIUDICAZIONE ADOTTATO PER IL LOTTO N. 3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 w:val="restart"/>
            <w:tcBorders>
              <w:top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rFonts w:eastAsia="Arial Unicode MS" w:hAnsi="Verdana" w:cs="Arial Unicode MS"/>
                <w:b w:val="0"/>
                <w:bCs/>
                <w:iCs/>
                <w:color w:val="000080"/>
                <w:sz w:val="20"/>
                <w:szCs w:val="20"/>
              </w:rPr>
              <w:t>⃞</w:t>
            </w:r>
            <w:r w:rsidRPr="000753BE">
              <w:rPr>
                <w:rFonts w:eastAsia="Arial Unicode MS" w:cs="Arial Unicode MS"/>
                <w:b w:val="0"/>
                <w:iCs/>
                <w:color w:val="000080"/>
                <w:sz w:val="20"/>
                <w:szCs w:val="20"/>
              </w:rPr>
              <w:t xml:space="preserve"> Prezzo più basso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  <w:r w:rsidRPr="00260D09">
              <w:rPr>
                <w:rFonts w:ascii="Verdana" w:eastAsia="Arial Unicode MS" w:hAnsi="Verdana" w:cs="Arial Unicode MS"/>
                <w:b w:val="0"/>
                <w:iCs/>
                <w:dstrike/>
                <w:color w:val="000080"/>
                <w:sz w:val="20"/>
                <w:szCs w:val="20"/>
              </w:rPr>
              <w:t>⃞</w:t>
            </w:r>
            <w:r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 xml:space="preserve"> Offerta economicamente più </w:t>
            </w:r>
            <w:r w:rsidRPr="000753BE"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>vantaggiosa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tecnici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25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tcBorders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economici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75</w:t>
            </w:r>
          </w:p>
        </w:tc>
      </w:tr>
      <w:tr w:rsidR="00553F8C" w:rsidRPr="00845FD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Nominativo vincitore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  <w:lang w:val="es-ES"/>
              </w:rPr>
            </w:pPr>
          </w:p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  <w:lang w:val="es-ES"/>
              </w:rPr>
            </w:pPr>
          </w:p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0"/>
                <w:szCs w:val="20"/>
                <w:lang w:val="es-ES"/>
              </w:rPr>
            </w:pPr>
            <w:r>
              <w:rPr>
                <w:b w:val="0"/>
                <w:iCs/>
                <w:color w:val="000080"/>
                <w:sz w:val="20"/>
                <w:szCs w:val="20"/>
                <w:lang w:val="es-ES"/>
              </w:rPr>
              <w:t>TotalErg</w:t>
            </w:r>
            <w:r w:rsidRPr="00845FDE">
              <w:rPr>
                <w:b w:val="0"/>
                <w:iCs/>
                <w:color w:val="000080"/>
                <w:sz w:val="20"/>
                <w:szCs w:val="20"/>
                <w:lang w:val="es-ES"/>
              </w:rPr>
              <w:t xml:space="preserve"> S.p.A.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Prezzo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845FDE" w:rsidRDefault="00553F8C" w:rsidP="00AB0332">
            <w:pPr>
              <w:keepNext/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Sconto di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0,075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Euro/litro sui prezzi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consigliati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>dei carburanti praticati alla pompa all’atto del prelievo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Caratteristiche del servizio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 per l’approvvigionamento di: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Benzina Super Senza Piombo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228);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Gasolio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590);</w:t>
            </w:r>
          </w:p>
          <w:p w:rsidR="00553F8C" w:rsidRPr="00845FDE" w:rsidRDefault="00553F8C" w:rsidP="00AB0332">
            <w:pPr>
              <w:pStyle w:val="Titolo8"/>
              <w:spacing w:before="0" w:after="0" w:line="192" w:lineRule="auto"/>
              <w:outlineLvl w:val="7"/>
              <w:rPr>
                <w:b w:val="0"/>
                <w:i w:val="0"/>
                <w:color w:val="000080"/>
                <w:sz w:val="20"/>
                <w:szCs w:val="20"/>
              </w:rPr>
            </w:pPr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□ GPL (Norma </w:t>
            </w:r>
            <w:proofErr w:type="spellStart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 589);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utilizzabili presso l’intera rete di punti vendita dell’aggiudicatario che accettano le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Card.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Servizi connessi di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call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center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e reportistica.</w:t>
            </w:r>
          </w:p>
        </w:tc>
      </w:tr>
    </w:tbl>
    <w:p w:rsidR="00553F8C" w:rsidRDefault="00553F8C" w:rsidP="00553F8C">
      <w:pPr>
        <w:tabs>
          <w:tab w:val="left" w:pos="1340"/>
        </w:tabs>
      </w:pPr>
    </w:p>
    <w:p w:rsidR="00553F8C" w:rsidRDefault="00553F8C" w:rsidP="00553F8C">
      <w:pPr>
        <w:tabs>
          <w:tab w:val="left" w:pos="1340"/>
        </w:tabs>
      </w:pPr>
      <w:r>
        <w:br w:type="page"/>
      </w:r>
    </w:p>
    <w:p w:rsidR="00553F8C" w:rsidRDefault="00553F8C" w:rsidP="00553F8C">
      <w:pPr>
        <w:tabs>
          <w:tab w:val="left" w:pos="1340"/>
        </w:tabs>
      </w:pPr>
    </w:p>
    <w:tbl>
      <w:tblPr>
        <w:tblStyle w:val="titolotabella"/>
        <w:tblW w:w="8468" w:type="dxa"/>
        <w:tblInd w:w="-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B1"/>
      </w:tblPr>
      <w:tblGrid>
        <w:gridCol w:w="4328"/>
        <w:gridCol w:w="4140"/>
      </w:tblGrid>
      <w:tr w:rsidR="00553F8C" w:rsidRPr="000753BE" w:rsidTr="00AB0332">
        <w:trPr>
          <w:cnfStyle w:val="100000000000"/>
          <w:cantSplit/>
          <w:trHeight w:hRule="exact" w:val="384"/>
        </w:trPr>
        <w:tc>
          <w:tcPr>
            <w:tcW w:w="8468" w:type="dxa"/>
            <w:gridSpan w:val="2"/>
            <w:tcBorders>
              <w:top w:val="nil"/>
              <w:left w:val="nil"/>
              <w:bottom w:val="single" w:sz="12" w:space="0" w:color="000080"/>
            </w:tcBorders>
            <w:vAlign w:val="bottom"/>
          </w:tcPr>
          <w:p w:rsidR="00553F8C" w:rsidRDefault="00553F8C" w:rsidP="00AB0332">
            <w:pPr>
              <w:pStyle w:val="tabella"/>
            </w:pPr>
            <w:r>
              <w:t>CRITERIO DI AGGIUDICAZIONE ADOTTATO PER IL LOTTO N. 4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 w:val="restart"/>
            <w:tcBorders>
              <w:top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rFonts w:eastAsia="Arial Unicode MS" w:hAnsi="Verdana" w:cs="Arial Unicode MS"/>
                <w:b w:val="0"/>
                <w:bCs/>
                <w:iCs/>
                <w:color w:val="000080"/>
                <w:sz w:val="20"/>
                <w:szCs w:val="20"/>
              </w:rPr>
              <w:t>⃞</w:t>
            </w:r>
            <w:r w:rsidRPr="000753BE">
              <w:rPr>
                <w:rFonts w:eastAsia="Arial Unicode MS" w:cs="Arial Unicode MS"/>
                <w:b w:val="0"/>
                <w:iCs/>
                <w:color w:val="000080"/>
                <w:sz w:val="20"/>
                <w:szCs w:val="20"/>
              </w:rPr>
              <w:t xml:space="preserve"> Prezzo più basso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  <w:r w:rsidRPr="00260D09">
              <w:rPr>
                <w:rFonts w:ascii="Verdana" w:eastAsia="Arial Unicode MS" w:hAnsi="Verdana" w:cs="Arial Unicode MS"/>
                <w:b w:val="0"/>
                <w:iCs/>
                <w:dstrike/>
                <w:color w:val="000080"/>
                <w:sz w:val="20"/>
                <w:szCs w:val="20"/>
              </w:rPr>
              <w:t>⃞</w:t>
            </w:r>
            <w:r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 xml:space="preserve"> Offerta economicamente più </w:t>
            </w:r>
            <w:r w:rsidRPr="000753BE"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>vantaggiosa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tecnici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25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tcBorders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economici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75</w:t>
            </w:r>
          </w:p>
        </w:tc>
      </w:tr>
      <w:tr w:rsidR="00553F8C" w:rsidRPr="00845FD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Nominativo vincitore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  <w:lang w:val="es-ES"/>
              </w:rPr>
            </w:pPr>
          </w:p>
          <w:p w:rsidR="00553F8C" w:rsidRPr="00845FDE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  <w:lang w:val="es-ES"/>
              </w:rPr>
            </w:pPr>
          </w:p>
          <w:p w:rsidR="00553F8C" w:rsidRPr="00845FDE" w:rsidRDefault="00A87B8E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0"/>
                <w:szCs w:val="20"/>
                <w:lang w:val="es-ES"/>
              </w:rPr>
            </w:pPr>
            <w:r w:rsidRPr="00992DB8">
              <w:rPr>
                <w:b w:val="0"/>
                <w:iCs/>
                <w:color w:val="000080"/>
                <w:sz w:val="20"/>
                <w:szCs w:val="20"/>
              </w:rPr>
              <w:t xml:space="preserve">KUWAIT </w:t>
            </w:r>
            <w:proofErr w:type="spellStart"/>
            <w:r w:rsidRPr="00992DB8">
              <w:rPr>
                <w:b w:val="0"/>
                <w:iCs/>
                <w:color w:val="000080"/>
                <w:sz w:val="20"/>
                <w:szCs w:val="20"/>
              </w:rPr>
              <w:t>Petroleum</w:t>
            </w:r>
            <w:proofErr w:type="spellEnd"/>
            <w:r w:rsidRPr="00992DB8">
              <w:rPr>
                <w:b w:val="0"/>
                <w:iCs/>
                <w:color w:val="000080"/>
                <w:sz w:val="20"/>
                <w:szCs w:val="20"/>
              </w:rPr>
              <w:t xml:space="preserve"> Italia S.p.A.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Prezzo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845FDE" w:rsidRDefault="00553F8C" w:rsidP="00A87B8E">
            <w:pPr>
              <w:keepNext/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Sconto di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0,06</w:t>
            </w:r>
            <w:r w:rsidR="00A87B8E">
              <w:rPr>
                <w:b w:val="0"/>
                <w:iCs/>
                <w:color w:val="000080"/>
                <w:sz w:val="20"/>
                <w:szCs w:val="20"/>
              </w:rPr>
              <w:t>6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Euro/litro sui prezzi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consigliati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>dei carburanti praticati alla pompa all’atto del prelievo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Caratteristiche del servizio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 per l’approvvigionamento di: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Benzina Super Senza Piombo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228);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Gasolio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590);</w:t>
            </w:r>
          </w:p>
          <w:p w:rsidR="00553F8C" w:rsidRPr="00845FDE" w:rsidRDefault="00553F8C" w:rsidP="00AB0332">
            <w:pPr>
              <w:pStyle w:val="Titolo8"/>
              <w:spacing w:before="0" w:after="0" w:line="192" w:lineRule="auto"/>
              <w:outlineLvl w:val="7"/>
              <w:rPr>
                <w:b w:val="0"/>
                <w:i w:val="0"/>
                <w:color w:val="000080"/>
                <w:sz w:val="20"/>
                <w:szCs w:val="20"/>
              </w:rPr>
            </w:pPr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□ GPL (Norma </w:t>
            </w:r>
            <w:proofErr w:type="spellStart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 589);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utilizzabili presso l’intera rete di punti vendita dell’aggiudicatario che accettano le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Card.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Servizi connessi di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call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center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e reportistica.</w:t>
            </w:r>
          </w:p>
        </w:tc>
      </w:tr>
    </w:tbl>
    <w:p w:rsidR="00553F8C" w:rsidRDefault="00553F8C" w:rsidP="00553F8C">
      <w:pPr>
        <w:tabs>
          <w:tab w:val="left" w:pos="1340"/>
        </w:tabs>
      </w:pPr>
      <w:r>
        <w:br w:type="page"/>
      </w:r>
    </w:p>
    <w:tbl>
      <w:tblPr>
        <w:tblStyle w:val="titolotabella"/>
        <w:tblW w:w="8468" w:type="dxa"/>
        <w:tblInd w:w="-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B1"/>
      </w:tblPr>
      <w:tblGrid>
        <w:gridCol w:w="4328"/>
        <w:gridCol w:w="4140"/>
      </w:tblGrid>
      <w:tr w:rsidR="00553F8C" w:rsidRPr="000753BE" w:rsidTr="00AB0332">
        <w:trPr>
          <w:cnfStyle w:val="100000000000"/>
          <w:cantSplit/>
          <w:trHeight w:hRule="exact" w:val="384"/>
        </w:trPr>
        <w:tc>
          <w:tcPr>
            <w:tcW w:w="8468" w:type="dxa"/>
            <w:gridSpan w:val="2"/>
            <w:tcBorders>
              <w:top w:val="nil"/>
              <w:left w:val="nil"/>
              <w:bottom w:val="single" w:sz="12" w:space="0" w:color="000080"/>
            </w:tcBorders>
            <w:vAlign w:val="bottom"/>
          </w:tcPr>
          <w:p w:rsidR="00553F8C" w:rsidRDefault="00553F8C" w:rsidP="00AB0332">
            <w:pPr>
              <w:pStyle w:val="tabella"/>
            </w:pPr>
            <w:r>
              <w:lastRenderedPageBreak/>
              <w:t>CRITERIO DI AGGIUDICAZIONE ADOTTATO PER IL LOTTO N. 5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 w:val="restart"/>
            <w:tcBorders>
              <w:top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rFonts w:eastAsia="Arial Unicode MS" w:hAnsi="Verdana" w:cs="Arial Unicode MS"/>
                <w:b w:val="0"/>
                <w:bCs/>
                <w:iCs/>
                <w:color w:val="000080"/>
                <w:sz w:val="20"/>
                <w:szCs w:val="20"/>
              </w:rPr>
              <w:t>⃞</w:t>
            </w:r>
            <w:r w:rsidRPr="000753BE">
              <w:rPr>
                <w:rFonts w:eastAsia="Arial Unicode MS" w:cs="Arial Unicode MS"/>
                <w:b w:val="0"/>
                <w:iCs/>
                <w:color w:val="000080"/>
                <w:sz w:val="20"/>
                <w:szCs w:val="20"/>
              </w:rPr>
              <w:t xml:space="preserve"> Prezzo più basso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  <w:r w:rsidRPr="00260D09">
              <w:rPr>
                <w:rFonts w:ascii="Verdana" w:eastAsia="Arial Unicode MS" w:hAnsi="Verdana" w:cs="Arial Unicode MS"/>
                <w:b w:val="0"/>
                <w:iCs/>
                <w:dstrike/>
                <w:color w:val="000080"/>
                <w:sz w:val="20"/>
                <w:szCs w:val="20"/>
              </w:rPr>
              <w:t>⃞</w:t>
            </w:r>
            <w:r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 xml:space="preserve"> Offerta economicamente più </w:t>
            </w:r>
            <w:r w:rsidRPr="000753BE">
              <w:rPr>
                <w:rFonts w:eastAsia="Arial Unicode MS" w:cs="Arial Unicode MS"/>
                <w:b w:val="0"/>
                <w:bCs/>
                <w:iCs/>
                <w:color w:val="000080"/>
                <w:sz w:val="20"/>
                <w:szCs w:val="20"/>
              </w:rPr>
              <w:t>vantaggiosa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tecnici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25</w:t>
            </w:r>
          </w:p>
        </w:tc>
      </w:tr>
      <w:tr w:rsidR="00553F8C" w:rsidRPr="000753BE" w:rsidTr="00AB0332">
        <w:trPr>
          <w:cantSplit/>
          <w:trHeight w:hRule="exact" w:val="700"/>
        </w:trPr>
        <w:tc>
          <w:tcPr>
            <w:tcW w:w="4328" w:type="dxa"/>
            <w:vMerge/>
            <w:tcBorders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rPr>
                <w:iCs/>
                <w:color w:val="00008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/>
              <w:rPr>
                <w:b w:val="0"/>
                <w:iCs/>
                <w:color w:val="000080"/>
                <w:sz w:val="20"/>
                <w:szCs w:val="20"/>
              </w:rPr>
            </w:pPr>
            <w:r w:rsidRPr="000753BE">
              <w:rPr>
                <w:b w:val="0"/>
                <w:iCs/>
                <w:color w:val="000080"/>
                <w:sz w:val="20"/>
                <w:szCs w:val="20"/>
              </w:rPr>
              <w:t>Punti economici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: 75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Nominativo vincitore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bottom"/>
          </w:tcPr>
          <w:p w:rsidR="00553F8C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</w:rPr>
            </w:pPr>
          </w:p>
          <w:p w:rsidR="00553F8C" w:rsidRPr="00E55E44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"/>
                <w:szCs w:val="2"/>
              </w:rPr>
            </w:pPr>
          </w:p>
          <w:p w:rsidR="00553F8C" w:rsidRPr="00992DB8" w:rsidRDefault="00553F8C" w:rsidP="00AB0332">
            <w:pPr>
              <w:spacing w:line="360" w:lineRule="auto"/>
              <w:ind w:left="113" w:right="113"/>
              <w:rPr>
                <w:b w:val="0"/>
                <w:iCs/>
                <w:color w:val="000080"/>
                <w:sz w:val="20"/>
                <w:szCs w:val="20"/>
              </w:rPr>
            </w:pPr>
            <w:r w:rsidRPr="00992DB8">
              <w:rPr>
                <w:b w:val="0"/>
                <w:iCs/>
                <w:color w:val="000080"/>
                <w:sz w:val="20"/>
                <w:szCs w:val="20"/>
              </w:rPr>
              <w:t xml:space="preserve">KUWAIT </w:t>
            </w:r>
            <w:proofErr w:type="spellStart"/>
            <w:r w:rsidRPr="00992DB8">
              <w:rPr>
                <w:b w:val="0"/>
                <w:iCs/>
                <w:color w:val="000080"/>
                <w:sz w:val="20"/>
                <w:szCs w:val="20"/>
              </w:rPr>
              <w:t>Petroleum</w:t>
            </w:r>
            <w:proofErr w:type="spellEnd"/>
            <w:r w:rsidRPr="00992DB8">
              <w:rPr>
                <w:b w:val="0"/>
                <w:iCs/>
                <w:color w:val="000080"/>
                <w:sz w:val="20"/>
                <w:szCs w:val="20"/>
              </w:rPr>
              <w:t xml:space="preserve"> Italia S.p.A.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Prezzo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 w:rsidR="00553F8C" w:rsidRPr="00845FDE" w:rsidRDefault="00553F8C" w:rsidP="00A87B8E">
            <w:pPr>
              <w:keepNext/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Sconto di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>0,06</w:t>
            </w:r>
            <w:r w:rsidR="00A87B8E">
              <w:rPr>
                <w:b w:val="0"/>
                <w:iCs/>
                <w:color w:val="000080"/>
                <w:sz w:val="20"/>
                <w:szCs w:val="20"/>
              </w:rPr>
              <w:t>7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Euro/litro sui prezzi 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consigliati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>dei carburanti praticati alla pompa all’atto del prelievo</w:t>
            </w:r>
          </w:p>
        </w:tc>
      </w:tr>
      <w:tr w:rsidR="00553F8C" w:rsidRPr="000753BE" w:rsidTr="00AB0332">
        <w:trPr>
          <w:cantSplit/>
        </w:trPr>
        <w:tc>
          <w:tcPr>
            <w:tcW w:w="4328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0753BE" w:rsidRDefault="00553F8C" w:rsidP="00AB0332">
            <w:pPr>
              <w:spacing w:line="360" w:lineRule="auto"/>
              <w:ind w:left="113" w:right="113"/>
              <w:rPr>
                <w:iCs/>
                <w:color w:val="000080"/>
                <w:sz w:val="20"/>
                <w:szCs w:val="20"/>
              </w:rPr>
            </w:pPr>
            <w:r w:rsidRPr="000753BE">
              <w:rPr>
                <w:iCs/>
                <w:color w:val="000080"/>
                <w:sz w:val="20"/>
                <w:szCs w:val="20"/>
              </w:rPr>
              <w:t>Caratteristiche del servizio offerto</w:t>
            </w:r>
          </w:p>
        </w:tc>
        <w:tc>
          <w:tcPr>
            <w:tcW w:w="4140" w:type="dxa"/>
            <w:tcBorders>
              <w:top w:val="single" w:sz="12" w:space="0" w:color="000080"/>
              <w:bottom w:val="single" w:sz="2" w:space="0" w:color="002776"/>
            </w:tcBorders>
            <w:vAlign w:val="center"/>
          </w:tcPr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 per l’approvvigionamento di: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Benzina Super Senza Piombo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228);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□ Gasolio (Norma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590);</w:t>
            </w:r>
          </w:p>
          <w:p w:rsidR="00553F8C" w:rsidRPr="00845FDE" w:rsidRDefault="00553F8C" w:rsidP="00AB0332">
            <w:pPr>
              <w:pStyle w:val="Titolo8"/>
              <w:spacing w:before="0" w:after="0" w:line="192" w:lineRule="auto"/>
              <w:outlineLvl w:val="7"/>
              <w:rPr>
                <w:b w:val="0"/>
                <w:i w:val="0"/>
                <w:color w:val="000080"/>
                <w:sz w:val="20"/>
                <w:szCs w:val="20"/>
              </w:rPr>
            </w:pPr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□ GPL (Norma </w:t>
            </w:r>
            <w:proofErr w:type="spellStart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>E.N.</w:t>
            </w:r>
            <w:proofErr w:type="spellEnd"/>
            <w:r w:rsidRPr="00845FDE">
              <w:rPr>
                <w:b w:val="0"/>
                <w:i w:val="0"/>
                <w:color w:val="000080"/>
                <w:sz w:val="20"/>
                <w:szCs w:val="20"/>
              </w:rPr>
              <w:t xml:space="preserve"> 589);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utilizzabili presso l’intera rete di punti vendita dell’aggiudicatario che accettano le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Fuel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Card.</w:t>
            </w:r>
          </w:p>
          <w:p w:rsidR="00553F8C" w:rsidRPr="00845FDE" w:rsidRDefault="00553F8C" w:rsidP="00AB0332">
            <w:pPr>
              <w:spacing w:line="16" w:lineRule="atLeast"/>
              <w:rPr>
                <w:b w:val="0"/>
                <w:iCs/>
                <w:color w:val="000080"/>
                <w:sz w:val="20"/>
                <w:szCs w:val="20"/>
              </w:rPr>
            </w:pP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Servizi connessi di </w:t>
            </w:r>
            <w:proofErr w:type="spellStart"/>
            <w:r w:rsidRPr="00845FDE">
              <w:rPr>
                <w:b w:val="0"/>
                <w:iCs/>
                <w:color w:val="000080"/>
                <w:sz w:val="20"/>
                <w:szCs w:val="20"/>
              </w:rPr>
              <w:t>call</w:t>
            </w:r>
            <w:proofErr w:type="spellEnd"/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center</w:t>
            </w:r>
            <w:r>
              <w:rPr>
                <w:b w:val="0"/>
                <w:iCs/>
                <w:color w:val="000080"/>
                <w:sz w:val="20"/>
                <w:szCs w:val="20"/>
              </w:rPr>
              <w:t xml:space="preserve"> </w:t>
            </w:r>
            <w:r w:rsidRPr="00845FDE">
              <w:rPr>
                <w:b w:val="0"/>
                <w:iCs/>
                <w:color w:val="000080"/>
                <w:sz w:val="20"/>
                <w:szCs w:val="20"/>
              </w:rPr>
              <w:t xml:space="preserve"> e reportistica.</w:t>
            </w:r>
          </w:p>
        </w:tc>
      </w:tr>
    </w:tbl>
    <w:p w:rsidR="00A54B26" w:rsidRDefault="00A54B26">
      <w:pPr>
        <w:tabs>
          <w:tab w:val="left" w:pos="1340"/>
        </w:tabs>
      </w:pPr>
    </w:p>
    <w:sectPr w:rsidR="00A54B26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3119" w:right="1134" w:bottom="1701" w:left="226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CB" w:rsidRDefault="00297DCB">
      <w:r>
        <w:separator/>
      </w:r>
    </w:p>
  </w:endnote>
  <w:endnote w:type="continuationSeparator" w:id="0">
    <w:p w:rsidR="00297DCB" w:rsidRDefault="0029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6" w:rsidRDefault="00A54B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4B26" w:rsidRDefault="00A54B2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6" w:rsidRPr="00BB7C45" w:rsidRDefault="00A54B26">
    <w:pPr>
      <w:pStyle w:val="Pidipagina"/>
      <w:framePr w:wrap="around" w:vAnchor="page" w:hAnchor="margin" w:xAlign="right" w:y="15996" w:anchorLock="1"/>
      <w:rPr>
        <w:rStyle w:val="Numeropagina"/>
        <w:rFonts w:ascii="Trebuchet MS" w:hAnsi="Trebuchet MS"/>
        <w:sz w:val="20"/>
        <w:szCs w:val="20"/>
      </w:rPr>
    </w:pPr>
    <w:r w:rsidRPr="00BB7C45">
      <w:rPr>
        <w:rStyle w:val="Numeropagina"/>
        <w:rFonts w:ascii="Trebuchet MS" w:hAnsi="Trebuchet MS"/>
        <w:sz w:val="20"/>
        <w:szCs w:val="20"/>
      </w:rPr>
      <w:fldChar w:fldCharType="begin"/>
    </w:r>
    <w:r w:rsidRPr="00BB7C45">
      <w:rPr>
        <w:rStyle w:val="Numeropagina"/>
        <w:rFonts w:ascii="Trebuchet MS" w:hAnsi="Trebuchet MS"/>
        <w:sz w:val="20"/>
        <w:szCs w:val="20"/>
      </w:rPr>
      <w:instrText xml:space="preserve">PAGE  </w:instrText>
    </w:r>
    <w:r w:rsidRPr="00BB7C45">
      <w:rPr>
        <w:rStyle w:val="Numeropagina"/>
        <w:rFonts w:ascii="Trebuchet MS" w:hAnsi="Trebuchet MS"/>
        <w:sz w:val="20"/>
        <w:szCs w:val="20"/>
      </w:rPr>
      <w:fldChar w:fldCharType="separate"/>
    </w:r>
    <w:r w:rsidR="00BB3470">
      <w:rPr>
        <w:rStyle w:val="Numeropagina"/>
        <w:rFonts w:ascii="Trebuchet MS" w:hAnsi="Trebuchet MS"/>
        <w:noProof/>
        <w:sz w:val="20"/>
        <w:szCs w:val="20"/>
      </w:rPr>
      <w:t>4</w:t>
    </w:r>
    <w:r w:rsidRPr="00BB7C45">
      <w:rPr>
        <w:rStyle w:val="Numeropagina"/>
        <w:rFonts w:ascii="Trebuchet MS" w:hAnsi="Trebuchet MS"/>
        <w:sz w:val="20"/>
        <w:szCs w:val="20"/>
      </w:rPr>
      <w:fldChar w:fldCharType="end"/>
    </w:r>
  </w:p>
  <w:p w:rsidR="00A54B26" w:rsidRDefault="00A54B2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CB" w:rsidRDefault="00297DCB">
      <w:r>
        <w:separator/>
      </w:r>
    </w:p>
  </w:footnote>
  <w:footnote w:type="continuationSeparator" w:id="0">
    <w:p w:rsidR="00297DCB" w:rsidRDefault="0029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6" w:rsidRDefault="00956092">
    <w:pPr>
      <w:pStyle w:val="Intestazione"/>
      <w:tabs>
        <w:tab w:val="left" w:pos="1080"/>
      </w:tabs>
      <w:ind w:hanging="108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-719455</wp:posOffset>
          </wp:positionV>
          <wp:extent cx="1333500" cy="1143000"/>
          <wp:effectExtent l="19050" t="0" r="0" b="0"/>
          <wp:wrapTight wrapText="bothSides">
            <wp:wrapPolygon edited="0">
              <wp:start x="-309" y="0"/>
              <wp:lineTo x="-309" y="21240"/>
              <wp:lineTo x="21600" y="21240"/>
              <wp:lineTo x="21600" y="0"/>
              <wp:lineTo x="-309" y="0"/>
            </wp:wrapPolygon>
          </wp:wrapTight>
          <wp:docPr id="3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6" w:rsidRPr="00BC115B" w:rsidRDefault="00956092">
    <w:pPr>
      <w:pStyle w:val="Intestazione"/>
      <w:ind w:hanging="108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-716280</wp:posOffset>
          </wp:positionV>
          <wp:extent cx="2581275" cy="1177290"/>
          <wp:effectExtent l="19050" t="0" r="9525" b="0"/>
          <wp:wrapTight wrapText="bothSides">
            <wp:wrapPolygon edited="0">
              <wp:start x="-159" y="0"/>
              <wp:lineTo x="-159" y="21320"/>
              <wp:lineTo x="21680" y="21320"/>
              <wp:lineTo x="21680" y="0"/>
              <wp:lineTo x="-159" y="0"/>
            </wp:wrapPolygon>
          </wp:wrapTight>
          <wp:docPr id="5" name="Immagine 5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77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0A88"/>
    <w:rsid w:val="00195161"/>
    <w:rsid w:val="001C67AC"/>
    <w:rsid w:val="001F4775"/>
    <w:rsid w:val="00267F26"/>
    <w:rsid w:val="00283CD4"/>
    <w:rsid w:val="00297DCB"/>
    <w:rsid w:val="003B7EA2"/>
    <w:rsid w:val="004C1936"/>
    <w:rsid w:val="00510D7A"/>
    <w:rsid w:val="00542B14"/>
    <w:rsid w:val="00553F8C"/>
    <w:rsid w:val="0064578A"/>
    <w:rsid w:val="0072030A"/>
    <w:rsid w:val="00746F50"/>
    <w:rsid w:val="00843003"/>
    <w:rsid w:val="008558C6"/>
    <w:rsid w:val="00864C17"/>
    <w:rsid w:val="008A53AF"/>
    <w:rsid w:val="008D3C0A"/>
    <w:rsid w:val="008E0845"/>
    <w:rsid w:val="00956092"/>
    <w:rsid w:val="00987982"/>
    <w:rsid w:val="00A306B3"/>
    <w:rsid w:val="00A54B26"/>
    <w:rsid w:val="00A65156"/>
    <w:rsid w:val="00A87B8E"/>
    <w:rsid w:val="00AB0A88"/>
    <w:rsid w:val="00BB3470"/>
    <w:rsid w:val="00D82F0E"/>
    <w:rsid w:val="00D944EA"/>
    <w:rsid w:val="00E030F2"/>
    <w:rsid w:val="00E03D32"/>
    <w:rsid w:val="00ED7271"/>
    <w:rsid w:val="00FE3BEE"/>
    <w:rsid w:val="00FE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rsid w:val="00FE3BE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TitoloDocumento">
    <w:name w:val="Titolo Documento"/>
    <w:basedOn w:val="Normale"/>
    <w:rPr>
      <w:rFonts w:ascii="Arial" w:hAnsi="Arial" w:cs="Arial"/>
      <w:b/>
      <w:bCs/>
      <w:sz w:val="40"/>
    </w:rPr>
  </w:style>
  <w:style w:type="paragraph" w:customStyle="1" w:styleId="TitoloDocumento2">
    <w:name w:val="Titolo Documento 2"/>
    <w:basedOn w:val="Normale"/>
    <w:rPr>
      <w:sz w:val="28"/>
    </w:rPr>
  </w:style>
  <w:style w:type="paragraph" w:customStyle="1" w:styleId="tabella">
    <w:name w:val="tabella"/>
    <w:basedOn w:val="Normale"/>
    <w:autoRedefine/>
    <w:pPr>
      <w:tabs>
        <w:tab w:val="right" w:pos="1905"/>
      </w:tabs>
      <w:spacing w:line="360" w:lineRule="auto"/>
      <w:ind w:left="8"/>
    </w:pPr>
    <w:rPr>
      <w:rFonts w:ascii="Trebuchet MS" w:eastAsia="Times" w:hAnsi="Trebuchet MS"/>
      <w:color w:val="112872"/>
      <w:lang w:val="de-DE"/>
    </w:rPr>
  </w:style>
  <w:style w:type="table" w:customStyle="1" w:styleId="titolotabella">
    <w:name w:val="titolo tabella"/>
    <w:basedOn w:val="Tabellasemplice1"/>
    <w:rPr>
      <w:rFonts w:ascii="Trebuchet MS" w:eastAsia="Times" w:hAnsi="Trebuchet MS"/>
      <w:b/>
      <w:color w:val="11287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New York" w:hAnsi="New York"/>
        <w:b/>
        <w:color w:val="112872"/>
        <w:sz w:val="20"/>
      </w:rPr>
      <w:tblPr/>
      <w:tcPr>
        <w:tcBorders>
          <w:bottom w:val="single" w:sz="6" w:space="0" w:color="008000"/>
          <w:tl2br w:val="nil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arattere1CarattereCarattereCarattereCarattereCarattereCarattereCarattereCarattereCharChar1">
    <w:name w:val=" Carattere1 Carattere Carattere Carattere Carattere Carattere Carattere Carattere Carattere Char Char1"/>
    <w:basedOn w:val="Normale"/>
    <w:rsid w:val="00864C17"/>
    <w:pPr>
      <w:ind w:left="567"/>
    </w:pPr>
    <w:rPr>
      <w:rFonts w:ascii="Arial" w:hAnsi="Arial"/>
    </w:rPr>
  </w:style>
  <w:style w:type="paragraph" w:customStyle="1" w:styleId="Carattere1CarattereCarattereCarattereCarattereCarattereCarattereCarattere">
    <w:name w:val=" Carattere1 Carattere Carattere Carattere Carattere Carattere Carattere Carattere"/>
    <w:basedOn w:val="Normale"/>
    <w:rsid w:val="00FE3CD6"/>
    <w:pPr>
      <w:ind w:left="567"/>
    </w:pPr>
    <w:rPr>
      <w:rFonts w:ascii="Arial" w:hAnsi="Arial"/>
    </w:rPr>
  </w:style>
  <w:style w:type="paragraph" w:customStyle="1" w:styleId="CarattereCarattereCarattere1CarattereCarattere">
    <w:name w:val=" Carattere Carattere Carattere1 Carattere Carattere"/>
    <w:basedOn w:val="Normale"/>
    <w:link w:val="Carpredefinitoparagrafo"/>
    <w:rsid w:val="00553F8C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a.pirone\Documenti\Corporate\Standard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8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gare</vt:lpstr>
    </vt:vector>
  </TitlesOfParts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gare</dc:title>
  <dc:creator/>
  <cp:lastModifiedBy/>
  <cp:revision>1</cp:revision>
  <cp:lastPrinted>2007-12-12T13:57:00Z</cp:lastPrinted>
  <dcterms:created xsi:type="dcterms:W3CDTF">2012-09-05T15:47:00Z</dcterms:created>
  <dcterms:modified xsi:type="dcterms:W3CDTF">2012-09-05T16:00:00Z</dcterms:modified>
</cp:coreProperties>
</file>