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F13C1" w:rsidRDefault="00827C3B" w:rsidP="00BF13C1">
      <w:pPr>
        <w:pStyle w:val="Titolocopertina"/>
        <w:ind w:left="284"/>
      </w:pPr>
      <w:r w:rsidRPr="00BF13C1">
        <w:t xml:space="preserve">GARA PER </w:t>
      </w:r>
      <w:r w:rsidR="001044B2" w:rsidRPr="001044B2">
        <w:t>LA FORNITURA IN SERVICE DI TRATTAMENTI DI DIALISI EXTRACORPOREA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1044B2" w:rsidRDefault="003601E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1044B2" w:rsidRPr="00ED49EA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6FFE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F6FFE" w:rsidRPr="00AF6FFE">
        <w:rPr>
          <w:rFonts w:asciiTheme="minorHAnsi" w:hAnsiTheme="minorHAnsi" w:cs="Arial"/>
          <w:bCs/>
          <w:sz w:val="20"/>
          <w:szCs w:val="20"/>
        </w:rPr>
        <w:t>07</w:t>
      </w:r>
      <w:r w:rsidR="008449F2" w:rsidRPr="00AF6FFE">
        <w:rPr>
          <w:rFonts w:asciiTheme="minorHAnsi" w:hAnsiTheme="minorHAnsi" w:cs="Arial"/>
          <w:bCs/>
          <w:sz w:val="20"/>
          <w:szCs w:val="20"/>
        </w:rPr>
        <w:t>/</w:t>
      </w:r>
      <w:r w:rsidR="00A47D61" w:rsidRPr="00AF6FFE">
        <w:rPr>
          <w:rFonts w:asciiTheme="minorHAnsi" w:hAnsiTheme="minorHAnsi" w:cs="Arial"/>
          <w:bCs/>
          <w:sz w:val="20"/>
          <w:szCs w:val="20"/>
        </w:rPr>
        <w:t>09</w:t>
      </w:r>
      <w:r w:rsidR="008449F2" w:rsidRPr="00AF6FFE">
        <w:rPr>
          <w:rFonts w:asciiTheme="minorHAnsi" w:hAnsiTheme="minorHAnsi" w:cs="Arial"/>
          <w:bCs/>
          <w:sz w:val="20"/>
          <w:szCs w:val="20"/>
        </w:rPr>
        <w:t>/</w:t>
      </w:r>
      <w:r w:rsidR="001044B2" w:rsidRPr="00AF6FFE">
        <w:rPr>
          <w:rFonts w:asciiTheme="minorHAnsi" w:hAnsiTheme="minorHAnsi" w:cs="Arial"/>
          <w:bCs/>
          <w:sz w:val="20"/>
          <w:szCs w:val="20"/>
        </w:rPr>
        <w:t>2018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:rsidR="001A15BE" w:rsidRPr="00EC3762" w:rsidRDefault="00F8539B" w:rsidP="00ED49EA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EC3762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EC3762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1044B2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1044B2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1044B2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1044B2">
      <w:pPr>
        <w:pStyle w:val="BodyText21"/>
        <w:numPr>
          <w:ilvl w:val="0"/>
          <w:numId w:val="30"/>
        </w:numPr>
        <w:tabs>
          <w:tab w:val="clear" w:pos="1440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1044B2" w:rsidRPr="00ED49EA">
        <w:rPr>
          <w:rFonts w:asciiTheme="minorHAnsi" w:hAnsiTheme="minorHAnsi" w:cs="Arial"/>
          <w:bCs/>
          <w:sz w:val="20"/>
          <w:szCs w:val="20"/>
        </w:rPr>
        <w:t>Service Dialisi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F6FFE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044B2" w:rsidRPr="00ED49EA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1044B2">
        <w:rPr>
          <w:rFonts w:asciiTheme="minorHAnsi" w:hAnsiTheme="minorHAnsi"/>
          <w:sz w:val="20"/>
          <w:szCs w:val="20"/>
        </w:rPr>
        <w:t xml:space="preserve">, </w:t>
      </w:r>
      <w:r w:rsidR="001044B2" w:rsidRPr="001044B2">
        <w:rPr>
          <w:rFonts w:asciiTheme="minorHAnsi" w:hAnsiTheme="minorHAnsi"/>
          <w:sz w:val="20"/>
          <w:szCs w:val="20"/>
        </w:rPr>
        <w:t xml:space="preserve">riportando nell’oggetto della stessa "Riscontro ad indagine di mercato </w:t>
      </w:r>
      <w:r w:rsidR="001044B2">
        <w:rPr>
          <w:rFonts w:asciiTheme="minorHAnsi" w:hAnsiTheme="minorHAnsi"/>
          <w:sz w:val="20"/>
          <w:szCs w:val="20"/>
        </w:rPr>
        <w:t>–</w:t>
      </w:r>
      <w:r w:rsidR="001044B2" w:rsidRPr="001044B2">
        <w:rPr>
          <w:rFonts w:asciiTheme="minorHAnsi" w:hAnsiTheme="minorHAnsi"/>
          <w:sz w:val="20"/>
          <w:szCs w:val="20"/>
        </w:rPr>
        <w:t xml:space="preserve"> </w:t>
      </w:r>
      <w:r w:rsidR="001044B2">
        <w:rPr>
          <w:rFonts w:asciiTheme="minorHAnsi" w:hAnsiTheme="minorHAnsi"/>
          <w:sz w:val="20"/>
          <w:szCs w:val="20"/>
        </w:rPr>
        <w:t>Service Dialisi</w:t>
      </w:r>
      <w:r w:rsidR="001044B2" w:rsidRPr="001044B2">
        <w:rPr>
          <w:rFonts w:asciiTheme="minorHAnsi" w:hAnsiTheme="minorHAnsi"/>
          <w:sz w:val="20"/>
          <w:szCs w:val="20"/>
        </w:rPr>
        <w:t>”.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1044B2" w:rsidRDefault="001044B2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044B2" w:rsidRPr="001044B2" w:rsidRDefault="001044B2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44B2">
        <w:rPr>
          <w:rFonts w:asciiTheme="minorHAnsi" w:hAnsiTheme="minorHAnsi" w:cs="Arial"/>
          <w:bCs/>
          <w:sz w:val="20"/>
          <w:szCs w:val="20"/>
        </w:rPr>
        <w:t>Oggetto dell’iniziativa è la fornitura in service di trattamenti di dialisi extracorporea completo di apparecchiature per dialisi e del relativo materiale di consumo (filtri, linee ematiche, soluzioni di lavaggio) e dei servizi connessi quali: trasporto e consegna, installazione, manutenzione post-vendita, formazione del personale.</w:t>
      </w:r>
    </w:p>
    <w:p w:rsidR="00F8539B" w:rsidRPr="00ED49EA" w:rsidRDefault="001044B2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44B2">
        <w:rPr>
          <w:rFonts w:asciiTheme="minorHAnsi" w:hAnsiTheme="minorHAnsi" w:cs="Arial"/>
          <w:bCs/>
          <w:sz w:val="20"/>
          <w:szCs w:val="20"/>
        </w:rPr>
        <w:t>I trattamenti oggetto dell’iniziativa sono: emodialisi standard</w:t>
      </w:r>
      <w:r w:rsidR="007F69AF">
        <w:rPr>
          <w:rFonts w:asciiTheme="minorHAnsi" w:hAnsiTheme="minorHAnsi" w:cs="Arial"/>
          <w:bCs/>
          <w:sz w:val="20"/>
          <w:szCs w:val="20"/>
        </w:rPr>
        <w:t xml:space="preserve"> (HD) e</w:t>
      </w:r>
      <w:r w:rsidRPr="001044B2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1044B2">
        <w:rPr>
          <w:rFonts w:asciiTheme="minorHAnsi" w:hAnsiTheme="minorHAnsi" w:cs="Arial"/>
          <w:bCs/>
          <w:sz w:val="20"/>
          <w:szCs w:val="20"/>
        </w:rPr>
        <w:t>emodiafiltrazione</w:t>
      </w:r>
      <w:proofErr w:type="spellEnd"/>
      <w:r w:rsidRPr="001044B2">
        <w:rPr>
          <w:rFonts w:asciiTheme="minorHAnsi" w:hAnsiTheme="minorHAnsi" w:cs="Arial"/>
          <w:bCs/>
          <w:sz w:val="20"/>
          <w:szCs w:val="20"/>
        </w:rPr>
        <w:t xml:space="preserve"> on line </w:t>
      </w:r>
      <w:r w:rsidR="007F69AF">
        <w:rPr>
          <w:rFonts w:asciiTheme="minorHAnsi" w:hAnsiTheme="minorHAnsi" w:cs="Arial"/>
          <w:bCs/>
          <w:sz w:val="20"/>
          <w:szCs w:val="20"/>
        </w:rPr>
        <w:t>(</w:t>
      </w:r>
      <w:r w:rsidR="007F69AF" w:rsidRPr="007F69AF">
        <w:rPr>
          <w:rFonts w:asciiTheme="minorHAnsi" w:hAnsiTheme="minorHAnsi" w:cs="Arial"/>
          <w:bCs/>
          <w:sz w:val="20"/>
          <w:szCs w:val="20"/>
        </w:rPr>
        <w:t>HDF online</w:t>
      </w:r>
      <w:r w:rsidR="007F69AF">
        <w:rPr>
          <w:rFonts w:asciiTheme="minorHAnsi" w:hAnsiTheme="minorHAnsi" w:cs="Arial"/>
          <w:bCs/>
          <w:sz w:val="20"/>
          <w:szCs w:val="20"/>
        </w:rPr>
        <w:t>)</w:t>
      </w:r>
      <w:r w:rsidRPr="001044B2">
        <w:rPr>
          <w:rFonts w:asciiTheme="minorHAnsi" w:hAnsiTheme="minorHAnsi" w:cs="Arial"/>
          <w:bCs/>
          <w:sz w:val="20"/>
          <w:szCs w:val="20"/>
        </w:rPr>
        <w:t>.</w:t>
      </w:r>
    </w:p>
    <w:p w:rsidR="001044B2" w:rsidRDefault="001044B2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F69AF" w:rsidRPr="00ED49EA" w:rsidRDefault="007F69AF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Pr="00BB4433" w:rsidRDefault="00122B75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FA737A" w:rsidRPr="0086334D" w:rsidRDefault="00FA737A" w:rsidP="008633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Default="00967053" w:rsidP="00B5724E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FE78E1">
        <w:rPr>
          <w:rFonts w:asciiTheme="minorHAnsi" w:hAnsiTheme="minorHAnsi" w:cs="Arial"/>
          <w:bCs/>
          <w:sz w:val="20"/>
          <w:szCs w:val="20"/>
        </w:rPr>
        <w:t>Quale è il valore annuo del mercato italiano</w:t>
      </w:r>
      <w:r>
        <w:rPr>
          <w:rFonts w:asciiTheme="minorHAnsi" w:hAnsiTheme="minorHAnsi" w:cs="Arial"/>
          <w:bCs/>
          <w:sz w:val="20"/>
          <w:szCs w:val="20"/>
        </w:rPr>
        <w:t xml:space="preserve"> di dialisi pubblico e privato?</w:t>
      </w:r>
    </w:p>
    <w:p w:rsidR="00967053" w:rsidRPr="009D4460" w:rsidRDefault="00967053" w:rsidP="0096705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967053" w:rsidRPr="008A38D0" w:rsidTr="00ED49EA">
        <w:trPr>
          <w:cantSplit/>
          <w:trHeight w:val="680"/>
          <w:tblHeader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Valore </w:t>
            </w:r>
            <w:r w:rsidRPr="008A38D0">
              <w:rPr>
                <w:rFonts w:ascii="Calibri" w:hAnsi="Calibri"/>
                <w:b/>
                <w:sz w:val="18"/>
                <w:szCs w:val="18"/>
              </w:rPr>
              <w:t>annuo (€)</w:t>
            </w:r>
          </w:p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38D0"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Valore </w:t>
            </w:r>
            <w:r w:rsidRPr="008A38D0">
              <w:rPr>
                <w:rFonts w:ascii="Calibri" w:hAnsi="Calibri"/>
                <w:b/>
                <w:sz w:val="18"/>
                <w:szCs w:val="18"/>
              </w:rPr>
              <w:t>annuo (€)</w:t>
            </w:r>
          </w:p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38D0">
              <w:rPr>
                <w:rFonts w:ascii="Calibri" w:hAnsi="Calibri"/>
                <w:b/>
                <w:sz w:val="18"/>
                <w:szCs w:val="18"/>
              </w:rPr>
              <w:t>Privato</w:t>
            </w:r>
          </w:p>
        </w:tc>
      </w:tr>
      <w:tr w:rsidR="00967053" w:rsidRPr="00E71CA1" w:rsidTr="00ED49EA">
        <w:trPr>
          <w:cantSplit/>
          <w:trHeight w:val="624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67053" w:rsidRPr="00D77C05" w:rsidRDefault="00967053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7053" w:rsidRPr="00D77C05" w:rsidRDefault="00967053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920CC" w:rsidRDefault="00D2474C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</w:t>
      </w:r>
      <w:r w:rsidR="00FE78E1">
        <w:rPr>
          <w:rFonts w:asciiTheme="minorHAnsi" w:hAnsiTheme="minorHAnsi" w:cs="Arial"/>
          <w:bCs/>
          <w:sz w:val="20"/>
          <w:szCs w:val="20"/>
        </w:rPr>
        <w:t>in service di</w:t>
      </w:r>
      <w:r w:rsidR="00FE78E1" w:rsidRPr="00ED49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E78E1" w:rsidRPr="00FE78E1">
        <w:rPr>
          <w:rFonts w:asciiTheme="minorHAnsi" w:hAnsiTheme="minorHAnsi" w:cs="Arial"/>
          <w:bCs/>
          <w:sz w:val="20"/>
          <w:szCs w:val="20"/>
        </w:rPr>
        <w:t>trattamenti di dialisi extracorporea</w:t>
      </w:r>
      <w:r w:rsidR="00FE78E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p w:rsidR="00FA737A" w:rsidRDefault="00FA737A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</w:tblGrid>
      <w:tr w:rsidR="00CF4758" w:rsidRPr="007C2D96" w:rsidTr="007C2D96">
        <w:trPr>
          <w:cantSplit/>
          <w:trHeight w:val="680"/>
          <w:tblHeader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4758" w:rsidRPr="00ED49EA" w:rsidRDefault="00CF4758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49EA">
              <w:rPr>
                <w:rFonts w:ascii="Calibri" w:hAnsi="Calibri"/>
                <w:b/>
                <w:sz w:val="18"/>
                <w:szCs w:val="18"/>
              </w:rPr>
              <w:t>Anno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F4758" w:rsidRPr="007C2D96" w:rsidRDefault="00CF4758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2D96">
              <w:rPr>
                <w:rFonts w:ascii="Calibri" w:hAnsi="Calibri"/>
                <w:b/>
                <w:sz w:val="18"/>
                <w:szCs w:val="18"/>
              </w:rPr>
              <w:t>Fatturato annuo (€)</w:t>
            </w:r>
          </w:p>
          <w:p w:rsidR="00CF4758" w:rsidRPr="007C2D96" w:rsidRDefault="00CF4758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2D96"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F4758" w:rsidRPr="007C2D96" w:rsidRDefault="00CF4758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2D96">
              <w:rPr>
                <w:rFonts w:ascii="Calibri" w:hAnsi="Calibri"/>
                <w:b/>
                <w:sz w:val="18"/>
                <w:szCs w:val="18"/>
              </w:rPr>
              <w:t>Fatturato annuo (€)</w:t>
            </w:r>
          </w:p>
          <w:p w:rsidR="00CF4758" w:rsidRPr="007C2D96" w:rsidRDefault="00CF4758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49EA">
              <w:rPr>
                <w:rFonts w:ascii="Calibri" w:hAnsi="Calibri"/>
                <w:b/>
                <w:sz w:val="18"/>
                <w:szCs w:val="18"/>
              </w:rPr>
              <w:t>Privato</w:t>
            </w:r>
          </w:p>
        </w:tc>
      </w:tr>
      <w:tr w:rsidR="00CF4758" w:rsidRPr="00E71CA1" w:rsidTr="008A38D0">
        <w:trPr>
          <w:cantSplit/>
          <w:trHeight w:val="624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F4758" w:rsidRPr="00220468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4758" w:rsidRPr="00D77C05" w:rsidTr="008A38D0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F4758" w:rsidRPr="00220468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4758" w:rsidRPr="00D77C05" w:rsidTr="008A38D0">
        <w:trPr>
          <w:cantSplit/>
          <w:trHeight w:val="62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F4758" w:rsidRPr="00220468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0468"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758" w:rsidRPr="00D77C05" w:rsidRDefault="00CF4758" w:rsidP="008A38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8E1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F4758" w:rsidRPr="00ED49EA" w:rsidRDefault="00CF4758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Default="00967053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Quale è il numero di trattamenti annui di dialisi extracorporea?</w:t>
      </w:r>
    </w:p>
    <w:p w:rsidR="00967053" w:rsidRPr="009D4460" w:rsidRDefault="00967053" w:rsidP="0096705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6236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</w:tblGrid>
      <w:tr w:rsidR="00967053" w:rsidRPr="008A38D0" w:rsidTr="008A38D0">
        <w:trPr>
          <w:cantSplit/>
          <w:trHeight w:val="454"/>
          <w:tblHeader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38D0">
              <w:rPr>
                <w:rFonts w:ascii="Calibri" w:hAnsi="Calibri"/>
                <w:b/>
                <w:sz w:val="18"/>
                <w:szCs w:val="18"/>
              </w:rPr>
              <w:t>Numero trattamenti complessivi</w:t>
            </w:r>
          </w:p>
        </w:tc>
      </w:tr>
      <w:tr w:rsidR="00967053" w:rsidRPr="008A38D0" w:rsidTr="008A38D0">
        <w:trPr>
          <w:cantSplit/>
          <w:trHeight w:val="454"/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Emodialisi standard (HD)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053" w:rsidRPr="008A38D0" w:rsidRDefault="00967053" w:rsidP="00ED49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7053" w:rsidRPr="00D77C05" w:rsidTr="008A38D0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A38D0">
              <w:rPr>
                <w:rFonts w:ascii="Calibri" w:hAnsi="Calibri"/>
                <w:b/>
                <w:sz w:val="18"/>
                <w:szCs w:val="18"/>
              </w:rPr>
              <w:t>Emodiafiltrazione</w:t>
            </w:r>
            <w:proofErr w:type="spellEnd"/>
            <w:r w:rsidRPr="008A38D0">
              <w:rPr>
                <w:rFonts w:ascii="Calibri" w:hAnsi="Calibri"/>
                <w:b/>
                <w:sz w:val="18"/>
                <w:szCs w:val="18"/>
              </w:rPr>
              <w:t xml:space="preserve"> online (HDF online)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7053" w:rsidRPr="00D77C05" w:rsidRDefault="00967053" w:rsidP="00ED49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67053" w:rsidRPr="00D77C05" w:rsidTr="008A38D0">
        <w:trPr>
          <w:cantSplit/>
          <w:trHeight w:val="45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053" w:rsidRPr="008A38D0" w:rsidRDefault="00967053" w:rsidP="008A38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38D0">
              <w:rPr>
                <w:rFonts w:ascii="Calibri" w:hAnsi="Calibri"/>
                <w:b/>
                <w:sz w:val="18"/>
                <w:szCs w:val="18"/>
              </w:rPr>
              <w:t>Altro (specificare)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7053" w:rsidRPr="00D77C05" w:rsidRDefault="00967053" w:rsidP="00ED49E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460" w:rsidRDefault="00FE78E1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FE78E1">
        <w:rPr>
          <w:rFonts w:asciiTheme="minorHAnsi" w:hAnsiTheme="minorHAnsi" w:cs="Arial"/>
          <w:bCs/>
          <w:sz w:val="20"/>
          <w:szCs w:val="20"/>
        </w:rPr>
        <w:lastRenderedPageBreak/>
        <w:t>Quali tipologie di trattame</w:t>
      </w:r>
      <w:r w:rsidR="00CF4758">
        <w:rPr>
          <w:rFonts w:asciiTheme="minorHAnsi" w:hAnsiTheme="minorHAnsi" w:cs="Arial"/>
          <w:bCs/>
          <w:sz w:val="20"/>
          <w:szCs w:val="20"/>
        </w:rPr>
        <w:t>n</w:t>
      </w:r>
      <w:r w:rsidRPr="00FE78E1">
        <w:rPr>
          <w:rFonts w:asciiTheme="minorHAnsi" w:hAnsiTheme="minorHAnsi" w:cs="Arial"/>
          <w:bCs/>
          <w:sz w:val="20"/>
          <w:szCs w:val="20"/>
        </w:rPr>
        <w:t>t</w:t>
      </w:r>
      <w:r w:rsidR="00CF4758">
        <w:rPr>
          <w:rFonts w:asciiTheme="minorHAnsi" w:hAnsiTheme="minorHAnsi" w:cs="Arial"/>
          <w:bCs/>
          <w:sz w:val="20"/>
          <w:szCs w:val="20"/>
        </w:rPr>
        <w:t>i</w:t>
      </w:r>
      <w:r w:rsidRPr="00FE78E1">
        <w:rPr>
          <w:rFonts w:asciiTheme="minorHAnsi" w:hAnsiTheme="minorHAnsi" w:cs="Arial"/>
          <w:bCs/>
          <w:sz w:val="20"/>
          <w:szCs w:val="20"/>
        </w:rPr>
        <w:t xml:space="preserve"> per la dialisi la Vostra azienda è in grado di fornire?</w:t>
      </w:r>
    </w:p>
    <w:p w:rsidR="009D4460" w:rsidRP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Pr="00ED49EA" w:rsidRDefault="00B64E3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78E1" w:rsidRPr="00ED49EA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78E1" w:rsidRDefault="00FE78E1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FE78E1">
        <w:rPr>
          <w:rFonts w:asciiTheme="minorHAnsi" w:hAnsiTheme="minorHAnsi" w:cs="Arial"/>
          <w:bCs/>
          <w:sz w:val="20"/>
          <w:szCs w:val="20"/>
        </w:rPr>
        <w:t>Quali tipologie di filtro per la dialisi la Vostra azienda è in grado di fornire?</w:t>
      </w:r>
    </w:p>
    <w:p w:rsidR="00FE78E1" w:rsidRPr="009D4460" w:rsidRDefault="00FE78E1" w:rsidP="00FE78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E78E1" w:rsidTr="008A38D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E78E1" w:rsidRDefault="00FE78E1" w:rsidP="008A38D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E78E1" w:rsidRPr="00ED49EA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78E1" w:rsidRPr="00ED49EA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Default="00967053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967053">
        <w:rPr>
          <w:rFonts w:asciiTheme="minorHAnsi" w:hAnsiTheme="minorHAnsi" w:cs="Arial"/>
          <w:bCs/>
          <w:sz w:val="20"/>
          <w:szCs w:val="20"/>
        </w:rPr>
        <w:t xml:space="preserve">Qual è la capacità mensile di consegna/installazione/collaudo sostenibile dalla Vostra Azienda per le apparecchiature </w:t>
      </w:r>
      <w:r>
        <w:rPr>
          <w:rFonts w:asciiTheme="minorHAnsi" w:hAnsiTheme="minorHAnsi" w:cs="Arial"/>
          <w:bCs/>
          <w:sz w:val="20"/>
          <w:szCs w:val="20"/>
        </w:rPr>
        <w:t>di dialisi</w:t>
      </w:r>
      <w:r w:rsidRPr="00967053">
        <w:rPr>
          <w:rFonts w:asciiTheme="minorHAnsi" w:hAnsiTheme="minorHAnsi" w:cs="Arial"/>
          <w:bCs/>
          <w:sz w:val="20"/>
          <w:szCs w:val="20"/>
        </w:rPr>
        <w:t>?</w:t>
      </w:r>
    </w:p>
    <w:p w:rsidR="00967053" w:rsidRPr="009D4460" w:rsidRDefault="00967053" w:rsidP="0096705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67053" w:rsidTr="008A38D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67053" w:rsidRDefault="00967053" w:rsidP="008A38D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67053" w:rsidRPr="00ED49EA" w:rsidRDefault="00967053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3739E" w:rsidRPr="00ED49EA" w:rsidRDefault="00F3739E" w:rsidP="00ED49EA">
      <w:pPr>
        <w:pStyle w:val="Paragrafoelenco"/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ED49EA">
        <w:rPr>
          <w:rFonts w:asciiTheme="minorHAnsi" w:hAnsiTheme="minorHAnsi" w:cs="Arial"/>
          <w:bCs/>
          <w:sz w:val="20"/>
          <w:szCs w:val="20"/>
        </w:rPr>
        <w:t xml:space="preserve">Quali delle </w:t>
      </w:r>
      <w:r w:rsidRPr="00ED49EA">
        <w:rPr>
          <w:rFonts w:asciiTheme="minorHAnsi" w:hAnsiTheme="minorHAnsi" w:cs="Arial"/>
          <w:b/>
          <w:bCs/>
          <w:sz w:val="20"/>
          <w:szCs w:val="20"/>
          <w:u w:val="single"/>
        </w:rPr>
        <w:t>caratteristiche tecniche minime</w:t>
      </w:r>
      <w:r w:rsidRPr="00ED49EA">
        <w:rPr>
          <w:rFonts w:asciiTheme="minorHAnsi" w:hAnsiTheme="minorHAnsi" w:cs="Arial"/>
          <w:bCs/>
          <w:sz w:val="20"/>
          <w:szCs w:val="20"/>
        </w:rPr>
        <w:t xml:space="preserve"> previste nella precedente edizione di gara (</w:t>
      </w:r>
      <w:r w:rsidR="00E909DA" w:rsidRPr="00ED49EA">
        <w:rPr>
          <w:rFonts w:asciiTheme="minorHAnsi" w:hAnsiTheme="minorHAnsi" w:cs="Arial"/>
          <w:bCs/>
          <w:sz w:val="20"/>
          <w:szCs w:val="20"/>
        </w:rPr>
        <w:t>AQ Service Dialisi</w:t>
      </w:r>
      <w:r w:rsidRPr="00ED49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909DA" w:rsidRPr="00ED49EA">
        <w:rPr>
          <w:rFonts w:asciiTheme="minorHAnsi" w:hAnsiTheme="minorHAnsi" w:cs="Arial"/>
          <w:bCs/>
          <w:sz w:val="20"/>
          <w:szCs w:val="20"/>
        </w:rPr>
        <w:t>2</w:t>
      </w:r>
      <w:r w:rsidRPr="00ED49EA">
        <w:rPr>
          <w:rFonts w:asciiTheme="minorHAnsi" w:hAnsiTheme="minorHAnsi" w:cs="Arial"/>
          <w:bCs/>
          <w:sz w:val="20"/>
          <w:szCs w:val="20"/>
        </w:rPr>
        <w:t xml:space="preserve"> pubblicata in GURI il </w:t>
      </w:r>
      <w:r w:rsidR="00E909DA" w:rsidRPr="00ED49EA">
        <w:rPr>
          <w:rFonts w:asciiTheme="minorHAnsi" w:hAnsiTheme="minorHAnsi" w:cs="Arial"/>
          <w:bCs/>
          <w:sz w:val="20"/>
          <w:szCs w:val="20"/>
        </w:rPr>
        <w:t>30</w:t>
      </w:r>
      <w:r w:rsidRPr="00ED49EA">
        <w:rPr>
          <w:rFonts w:asciiTheme="minorHAnsi" w:hAnsiTheme="minorHAnsi" w:cs="Arial"/>
          <w:bCs/>
          <w:sz w:val="20"/>
          <w:szCs w:val="20"/>
        </w:rPr>
        <w:t>/</w:t>
      </w:r>
      <w:r w:rsidR="00E909DA" w:rsidRPr="00ED49EA">
        <w:rPr>
          <w:rFonts w:asciiTheme="minorHAnsi" w:hAnsiTheme="minorHAnsi" w:cs="Arial"/>
          <w:bCs/>
          <w:sz w:val="20"/>
          <w:szCs w:val="20"/>
        </w:rPr>
        <w:t>09</w:t>
      </w:r>
      <w:r w:rsidRPr="00ED49EA">
        <w:rPr>
          <w:rFonts w:asciiTheme="minorHAnsi" w:hAnsiTheme="minorHAnsi" w:cs="Arial"/>
          <w:bCs/>
          <w:sz w:val="20"/>
          <w:szCs w:val="20"/>
        </w:rPr>
        <w:t>/201</w:t>
      </w:r>
      <w:r w:rsidR="00E909DA" w:rsidRPr="00ED49EA">
        <w:rPr>
          <w:rFonts w:asciiTheme="minorHAnsi" w:hAnsiTheme="minorHAnsi" w:cs="Arial"/>
          <w:bCs/>
          <w:sz w:val="20"/>
          <w:szCs w:val="20"/>
        </w:rPr>
        <w:t>6</w:t>
      </w:r>
      <w:r w:rsidRPr="00ED49EA">
        <w:rPr>
          <w:rFonts w:asciiTheme="minorHAnsi" w:hAnsiTheme="minorHAnsi" w:cs="Arial"/>
          <w:bCs/>
          <w:sz w:val="20"/>
          <w:szCs w:val="20"/>
        </w:rPr>
        <w:t xml:space="preserve">) </w:t>
      </w:r>
      <w:r w:rsidRPr="00ED49EA">
        <w:rPr>
          <w:rFonts w:asciiTheme="minorHAnsi" w:hAnsiTheme="minorHAnsi" w:cs="Arial"/>
          <w:b/>
          <w:bCs/>
          <w:sz w:val="20"/>
          <w:szCs w:val="20"/>
          <w:u w:val="single"/>
        </w:rPr>
        <w:t>ritenete obsolete</w:t>
      </w:r>
      <w:r w:rsidR="00ED49EA" w:rsidRPr="00ED49E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E909DA" w:rsidRPr="00ED49EA">
        <w:rPr>
          <w:rFonts w:asciiTheme="minorHAnsi" w:hAnsiTheme="minorHAnsi" w:cs="Arial"/>
          <w:b/>
          <w:bCs/>
          <w:sz w:val="20"/>
          <w:szCs w:val="20"/>
          <w:u w:val="single"/>
        </w:rPr>
        <w:t>o implicite nella configurazione dell’apparecchiatura</w:t>
      </w:r>
      <w:r w:rsidRPr="00ED49EA">
        <w:rPr>
          <w:rFonts w:asciiTheme="minorHAnsi" w:hAnsiTheme="minorHAnsi" w:cs="Arial"/>
          <w:bCs/>
          <w:sz w:val="20"/>
          <w:szCs w:val="20"/>
        </w:rPr>
        <w:t>?</w:t>
      </w:r>
      <w:r w:rsidR="00A9511B" w:rsidRPr="00A951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9511B" w:rsidRPr="00E909DA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A9511B">
        <w:rPr>
          <w:rFonts w:asciiTheme="minorHAnsi" w:hAnsiTheme="minorHAnsi" w:cs="Arial"/>
          <w:bCs/>
          <w:sz w:val="20"/>
          <w:szCs w:val="20"/>
        </w:rPr>
        <w:t>nella tabella successiva</w:t>
      </w:r>
      <w:r w:rsidR="00A9511B" w:rsidRPr="00E909DA">
        <w:rPr>
          <w:rFonts w:asciiTheme="minorHAnsi" w:hAnsiTheme="minorHAnsi" w:cs="Arial"/>
          <w:bCs/>
          <w:sz w:val="20"/>
          <w:szCs w:val="20"/>
        </w:rPr>
        <w:t xml:space="preserve"> le relative motivazioni. Per ogni caratteristica precisare inoltre se è riscontrabile con prova pratica e/o mediante riscontro visivo sull’apparecchiatura</w:t>
      </w:r>
      <w:r w:rsidR="00A9511B">
        <w:rPr>
          <w:rFonts w:asciiTheme="minorHAnsi" w:hAnsiTheme="minorHAnsi" w:cs="Arial"/>
          <w:bCs/>
          <w:sz w:val="20"/>
          <w:szCs w:val="20"/>
        </w:rPr>
        <w:t xml:space="preserve"> e/o documentale.</w:t>
      </w:r>
    </w:p>
    <w:p w:rsidR="00F3739E" w:rsidRPr="009D4460" w:rsidRDefault="00F3739E" w:rsidP="00F373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2612"/>
        <w:gridCol w:w="2612"/>
      </w:tblGrid>
      <w:tr w:rsidR="00A9511B" w:rsidRPr="00ED49EA" w:rsidTr="00AA39E1">
        <w:trPr>
          <w:cantSplit/>
          <w:trHeight w:val="710"/>
          <w:tblHeader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A9511B" w:rsidRPr="00ED49EA" w:rsidRDefault="00A9511B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Caratteristiche </w:t>
            </w:r>
            <w:r>
              <w:rPr>
                <w:rFonts w:ascii="Calibri" w:hAnsi="Calibri"/>
                <w:b/>
                <w:sz w:val="20"/>
                <w:szCs w:val="18"/>
              </w:rPr>
              <w:t>minime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A9511B" w:rsidRPr="00ED49EA" w:rsidRDefault="00A9511B" w:rsidP="00AA39E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Obsoleta o implicita nella configurazione dell’apparecchiatura (specificare)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A9511B" w:rsidRPr="00ED49EA" w:rsidRDefault="00A9511B" w:rsidP="00AA39E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Riscontrabile con prova pratica e/o mediante riscontro visivo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e/o documentale </w:t>
            </w:r>
            <w:r w:rsidRPr="00ED49EA">
              <w:rPr>
                <w:rFonts w:ascii="Calibri" w:hAnsi="Calibri"/>
                <w:b/>
                <w:sz w:val="20"/>
                <w:szCs w:val="18"/>
              </w:rPr>
              <w:t>(specificare)</w:t>
            </w: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511B">
              <w:rPr>
                <w:rFonts w:ascii="Calibri" w:hAnsi="Calibri"/>
                <w:sz w:val="20"/>
                <w:szCs w:val="20"/>
              </w:rPr>
              <w:t>Monitor automatico nuovo di fabbrica e di ultima generazione con circuito idraulico in single – pass in dialisi, monitoraggio di tutti i parametri del trattamento dialitico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A9511B" w:rsidRPr="00ED49EA" w:rsidRDefault="00A9511B" w:rsidP="00AA39E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lastRenderedPageBreak/>
              <w:t>Preparazione</w:t>
            </w:r>
            <w:r w:rsidR="00835E09" w:rsidRPr="00835E09">
              <w:rPr>
                <w:rFonts w:ascii="Calibri" w:hAnsi="Calibri"/>
                <w:b/>
                <w:sz w:val="20"/>
                <w:szCs w:val="20"/>
              </w:rPr>
              <w:t>/Fine lavoro</w:t>
            </w: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Programmazione di autoaccensione, lavaggio e autospegnimento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Funzione di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priming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automatico in fase di preparazione del circuito extracorporeo con intervento dell'operatore solo in fase di avvio del trattamento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Preparazione del bagno di dialisi da polvere di bicarbonato, in dose per singola dialisi, e soluzione acida, liquida o in polvere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Funzione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autocheck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prima dell’inizio trattamento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Funzione di autospegnimento a fine disinfezione/disincrostazione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Disinfezione dell’apparecchio di dialisi in contemporanea con impianto di distribuzione dell’acqua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osmotizzata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con disinfezione termica e/o chimica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A9511B" w:rsidRPr="00DF3DC5" w:rsidRDefault="00A9511B" w:rsidP="00AA39E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Sicurezza</w:t>
            </w: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EB1F98" w:rsidRDefault="00A9511B" w:rsidP="00EB1F9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Monitoraggio, con blocco automatico in caso di anomalie, dei seguenti parametri:</w:t>
            </w:r>
          </w:p>
          <w:p w:rsidR="00A9511B" w:rsidRPr="00EB1F98" w:rsidRDefault="00A9511B" w:rsidP="00EB1F98">
            <w:pPr>
              <w:pStyle w:val="Paragrafoelenco"/>
              <w:numPr>
                <w:ilvl w:val="0"/>
                <w:numId w:val="44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pressione di aspirazione (arteriosa) e restituzione (venosa) del sangue nel circuito extracorporeo</w:t>
            </w:r>
          </w:p>
          <w:p w:rsidR="00A9511B" w:rsidRPr="00EB1F98" w:rsidRDefault="00A9511B" w:rsidP="00EB1F98">
            <w:pPr>
              <w:pStyle w:val="Paragrafoelenco"/>
              <w:numPr>
                <w:ilvl w:val="0"/>
                <w:numId w:val="44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pressione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transmembrana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(TMP)</w:t>
            </w:r>
          </w:p>
          <w:p w:rsidR="00A9511B" w:rsidRDefault="00A9511B" w:rsidP="00EB1F98">
            <w:pPr>
              <w:pStyle w:val="Paragrafoelenco"/>
              <w:numPr>
                <w:ilvl w:val="0"/>
                <w:numId w:val="44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variazioni della conducibilità al di fuori del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impostato</w:t>
            </w:r>
          </w:p>
          <w:p w:rsidR="00A9511B" w:rsidRPr="00EB1F98" w:rsidRDefault="00A9511B" w:rsidP="00EB1F98">
            <w:pPr>
              <w:pStyle w:val="Paragrafoelenco"/>
              <w:numPr>
                <w:ilvl w:val="0"/>
                <w:numId w:val="44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temperatura del liquido dialisi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Rilevamento preciso ed affidabile della presenza di aria e sistema di sicurezza per evitare l’embolia gassosa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Rilevamento di eventuali perdite ematiche con blocco automatico del trattamento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Punto di prelievo del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dialisato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per controllo elettrolitico, batteriologico,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endotossinico</w:t>
            </w:r>
            <w:proofErr w:type="spellEnd"/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Batteria tampone che, in caso di assenza di alimentazione elettrica, garantisca il funzionamento dell’apparecchiatura per almeno 10 minuti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Controllo e visualizzazione in tempo reale di calo ponderale e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Ultrafitrato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rimosso; tempo di dialisi effettuato e/o rimanente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Sistema per la memorizzazione dei dati del paziente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A9511B" w:rsidRPr="00DF3DC5" w:rsidRDefault="00A9511B" w:rsidP="00AA39E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9511B">
              <w:rPr>
                <w:rFonts w:ascii="Calibri" w:hAnsi="Calibri"/>
                <w:b/>
                <w:sz w:val="20"/>
                <w:szCs w:val="20"/>
              </w:rPr>
              <w:lastRenderedPageBreak/>
              <w:t>Sicurezza/Trattamento</w:t>
            </w: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Display ben leggibile in lingua italiana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Presenza di un sistema di ultrafiltrazione del bagno dialisi capace di erogare un liquido di dialisi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ultrapuro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>; secondo linee guida SIN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Lettura continua del flusso ematico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Lettura continua della Ultrafiltrazione (UF)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Misura continua del totale della soluzione infusa nelle metodiche convettive o miste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Sistema per la determinazione dell'efficienza dialitica senza prelievi dal circuito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Possibilità di trasferimento dei dati prodotti durante il trattamento dialitico e residenti sull'apparecchiatura a qualsiasi tipologia di rete informatica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9511B" w:rsidRPr="00220468" w:rsidRDefault="00A9511B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Sistema inglobato nell’apparecchiatura, con visualizzazione a video, per la misura automatica non invasiva della pressione arteriosa (sistolica e diastolica) e della frequenza cardiaca in corso di trattamento, con possibilità di impostare la soglia di allarme e gli intervalli di misura</w:t>
            </w: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A9511B" w:rsidRPr="00D77C05" w:rsidRDefault="00A9511B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511B" w:rsidRPr="00E71CA1" w:rsidTr="00AA39E1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A9511B" w:rsidRPr="00DF3DC5" w:rsidRDefault="00A9511B" w:rsidP="00AA39E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Trattamento</w:t>
            </w: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EB1F98" w:rsidRDefault="00835E09" w:rsidP="00EB1F9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Sistema di preparazione e controllo automatico che permetta l’esecuzione di:</w:t>
            </w:r>
          </w:p>
          <w:p w:rsidR="00835E09" w:rsidRPr="00EB1F98" w:rsidRDefault="00835E09" w:rsidP="00EB1F98">
            <w:pPr>
              <w:numPr>
                <w:ilvl w:val="0"/>
                <w:numId w:val="47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Bicarbonato dialisi</w:t>
            </w:r>
          </w:p>
          <w:p w:rsidR="00835E09" w:rsidRPr="00EB1F98" w:rsidRDefault="00835E09" w:rsidP="00EB1F98">
            <w:pPr>
              <w:pStyle w:val="Paragrafoelenco"/>
              <w:numPr>
                <w:ilvl w:val="0"/>
                <w:numId w:val="47"/>
              </w:numPr>
              <w:ind w:left="461" w:hanging="284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Emodiafiltrazione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on line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flusso ematico (QB): 0-500 ml/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flusso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dialisato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(QD): 300-700 ml/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Possibilità di effettuare dialisi extracorporea (HD) anche in modalità ago singolo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Possibilità di variare, anche durante il trattamento, la concentrazione di sodio e di bicarbonato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lastRenderedPageBreak/>
              <w:t>Pompa della eparina incorporata, con velocità programmabile, allarme di fine infusione, possibilità di impostare lo spegnimento anticipato rispetto al termine della dialisi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Bracciali di varie misure (es. per obesi, per pazienti di piccola taglia)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 xml:space="preserve">Possibilità di variare la temperatura del </w:t>
            </w:r>
            <w:proofErr w:type="spellStart"/>
            <w:r w:rsidRPr="00EB1F98">
              <w:rPr>
                <w:rFonts w:ascii="Calibri" w:hAnsi="Calibri"/>
                <w:sz w:val="20"/>
                <w:szCs w:val="20"/>
              </w:rPr>
              <w:t>dialisato</w:t>
            </w:r>
            <w:proofErr w:type="spellEnd"/>
            <w:r w:rsidRPr="00EB1F98">
              <w:rPr>
                <w:rFonts w:ascii="Calibri" w:hAnsi="Calibri"/>
                <w:sz w:val="20"/>
                <w:szCs w:val="20"/>
              </w:rPr>
              <w:t xml:space="preserve"> durante tutte le fasi del trattamento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35E09" w:rsidRPr="00D77C05" w:rsidTr="00AA39E1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35E09" w:rsidRPr="00220468" w:rsidRDefault="00835E09" w:rsidP="00AA39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B1F98">
              <w:rPr>
                <w:rFonts w:ascii="Calibri" w:hAnsi="Calibri"/>
                <w:sz w:val="20"/>
                <w:szCs w:val="20"/>
              </w:rPr>
              <w:t>Possibilità di esecuzione di UF isolata</w:t>
            </w: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35E09" w:rsidRPr="00D77C05" w:rsidRDefault="00835E09" w:rsidP="00AA39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909DA" w:rsidRPr="00E909DA" w:rsidRDefault="00E909DA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09DA" w:rsidRPr="00E909DA" w:rsidRDefault="00E909DA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09DA" w:rsidRPr="00F3739E" w:rsidRDefault="00E909DA" w:rsidP="00ED49EA">
      <w:pPr>
        <w:pStyle w:val="Paragrafoelenco"/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F3739E">
        <w:rPr>
          <w:rFonts w:asciiTheme="minorHAnsi" w:hAnsiTheme="minorHAnsi" w:cs="Arial"/>
          <w:bCs/>
          <w:sz w:val="20"/>
          <w:szCs w:val="20"/>
        </w:rPr>
        <w:t xml:space="preserve">Quali delle </w:t>
      </w:r>
      <w:r w:rsidRPr="00ED49EA">
        <w:rPr>
          <w:rFonts w:asciiTheme="minorHAnsi" w:hAnsiTheme="minorHAnsi" w:cs="Arial"/>
          <w:b/>
          <w:bCs/>
          <w:sz w:val="20"/>
          <w:szCs w:val="20"/>
          <w:u w:val="single"/>
        </w:rPr>
        <w:t>caratteristiche tecniche migliorative</w:t>
      </w:r>
      <w:r w:rsidRPr="00E909D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3739E">
        <w:rPr>
          <w:rFonts w:asciiTheme="minorHAnsi" w:hAnsiTheme="minorHAnsi" w:cs="Arial"/>
          <w:bCs/>
          <w:sz w:val="20"/>
          <w:szCs w:val="20"/>
        </w:rPr>
        <w:t>previste nella precedente edizione di gara (</w:t>
      </w:r>
      <w:r>
        <w:rPr>
          <w:rFonts w:asciiTheme="minorHAnsi" w:hAnsiTheme="minorHAnsi" w:cs="Arial"/>
          <w:bCs/>
          <w:sz w:val="20"/>
          <w:szCs w:val="20"/>
        </w:rPr>
        <w:t>AQ Service Dialisi</w:t>
      </w:r>
      <w:r w:rsidRPr="00F3739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F3739E">
        <w:rPr>
          <w:rFonts w:asciiTheme="minorHAnsi" w:hAnsiTheme="minorHAnsi" w:cs="Arial"/>
          <w:bCs/>
          <w:sz w:val="20"/>
          <w:szCs w:val="20"/>
        </w:rPr>
        <w:t xml:space="preserve"> pubblicata in GURI il </w:t>
      </w:r>
      <w:r>
        <w:rPr>
          <w:rFonts w:asciiTheme="minorHAnsi" w:hAnsiTheme="minorHAnsi" w:cs="Arial"/>
          <w:bCs/>
          <w:sz w:val="20"/>
          <w:szCs w:val="20"/>
        </w:rPr>
        <w:t>30</w:t>
      </w:r>
      <w:r w:rsidRPr="00F3739E">
        <w:rPr>
          <w:rFonts w:asciiTheme="minorHAnsi" w:hAnsiTheme="minorHAnsi" w:cs="Arial"/>
          <w:bCs/>
          <w:sz w:val="20"/>
          <w:szCs w:val="20"/>
        </w:rPr>
        <w:t>/</w:t>
      </w:r>
      <w:r>
        <w:rPr>
          <w:rFonts w:asciiTheme="minorHAnsi" w:hAnsiTheme="minorHAnsi" w:cs="Arial"/>
          <w:bCs/>
          <w:sz w:val="20"/>
          <w:szCs w:val="20"/>
        </w:rPr>
        <w:t>09</w:t>
      </w:r>
      <w:r w:rsidRPr="00F3739E">
        <w:rPr>
          <w:rFonts w:asciiTheme="minorHAnsi" w:hAnsiTheme="minorHAnsi" w:cs="Arial"/>
          <w:bCs/>
          <w:sz w:val="20"/>
          <w:szCs w:val="20"/>
        </w:rPr>
        <w:t>/201</w:t>
      </w:r>
      <w:r>
        <w:rPr>
          <w:rFonts w:asciiTheme="minorHAnsi" w:hAnsiTheme="minorHAnsi" w:cs="Arial"/>
          <w:bCs/>
          <w:sz w:val="20"/>
          <w:szCs w:val="20"/>
        </w:rPr>
        <w:t>6</w:t>
      </w:r>
      <w:r w:rsidRPr="00F3739E">
        <w:rPr>
          <w:rFonts w:asciiTheme="minorHAnsi" w:hAnsiTheme="minorHAnsi" w:cs="Arial"/>
          <w:bCs/>
          <w:sz w:val="20"/>
          <w:szCs w:val="20"/>
        </w:rPr>
        <w:t xml:space="preserve">) </w:t>
      </w:r>
      <w:r w:rsidRPr="00ED49EA">
        <w:rPr>
          <w:rFonts w:asciiTheme="minorHAnsi" w:hAnsiTheme="minorHAnsi" w:cs="Arial"/>
          <w:b/>
          <w:bCs/>
          <w:sz w:val="20"/>
          <w:szCs w:val="20"/>
          <w:u w:val="single"/>
        </w:rPr>
        <w:t>ritenete obsolete o implicite nella configurazione dell’apparecchiatura</w:t>
      </w:r>
      <w:r w:rsidRPr="00F3739E">
        <w:rPr>
          <w:rFonts w:asciiTheme="minorHAnsi" w:hAnsiTheme="minorHAnsi" w:cs="Arial"/>
          <w:bCs/>
          <w:sz w:val="20"/>
          <w:szCs w:val="20"/>
        </w:rPr>
        <w:t>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909DA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A125BC">
        <w:rPr>
          <w:rFonts w:asciiTheme="minorHAnsi" w:hAnsiTheme="minorHAnsi" w:cs="Arial"/>
          <w:bCs/>
          <w:sz w:val="20"/>
          <w:szCs w:val="20"/>
        </w:rPr>
        <w:t>nella tabella successiva</w:t>
      </w:r>
      <w:r w:rsidRPr="00E909DA">
        <w:rPr>
          <w:rFonts w:asciiTheme="minorHAnsi" w:hAnsiTheme="minorHAnsi" w:cs="Arial"/>
          <w:bCs/>
          <w:sz w:val="20"/>
          <w:szCs w:val="20"/>
        </w:rPr>
        <w:t xml:space="preserve"> le relative motivazioni. Per ogni caratteristica precisare inoltre se è riscontrabile con prova pratica e/o mediante riscontro visivo sull’apparecchiatura</w:t>
      </w:r>
      <w:r w:rsidR="00A47D61">
        <w:rPr>
          <w:rFonts w:asciiTheme="minorHAnsi" w:hAnsiTheme="minorHAnsi" w:cs="Arial"/>
          <w:bCs/>
          <w:sz w:val="20"/>
          <w:szCs w:val="20"/>
        </w:rPr>
        <w:t xml:space="preserve"> e/o documentale</w:t>
      </w:r>
      <w:r w:rsidR="00ED49EA">
        <w:rPr>
          <w:rFonts w:asciiTheme="minorHAnsi" w:hAnsiTheme="minorHAnsi" w:cs="Arial"/>
          <w:bCs/>
          <w:sz w:val="20"/>
          <w:szCs w:val="20"/>
        </w:rPr>
        <w:t>.</w:t>
      </w:r>
    </w:p>
    <w:p w:rsidR="00E909DA" w:rsidRPr="009D4460" w:rsidRDefault="00E909DA" w:rsidP="00E909D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612"/>
        <w:gridCol w:w="2612"/>
      </w:tblGrid>
      <w:tr w:rsidR="00E909DA" w:rsidRPr="00ED49EA" w:rsidTr="00ED49EA">
        <w:trPr>
          <w:cantSplit/>
          <w:trHeight w:val="710"/>
          <w:tblHeader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909DA" w:rsidRPr="00ED49EA" w:rsidRDefault="00E909DA" w:rsidP="00ED49EA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Caratteristiche migliorative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E909DA" w:rsidRPr="00ED49EA" w:rsidRDefault="00E909DA" w:rsidP="00DF3DC5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Obsoleta o implicita nella configurazione dell’apparecchiatura (specificare)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E909DA" w:rsidRPr="00ED49EA" w:rsidRDefault="00E909DA" w:rsidP="00DF3DC5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Riscontrabile con prova pratica e/o mediante riscontro visivo </w:t>
            </w:r>
            <w:r w:rsidR="00A47D61">
              <w:rPr>
                <w:rFonts w:ascii="Calibri" w:hAnsi="Calibri"/>
                <w:b/>
                <w:sz w:val="20"/>
                <w:szCs w:val="18"/>
              </w:rPr>
              <w:t xml:space="preserve">e/o documentale </w:t>
            </w:r>
            <w:r w:rsidRPr="00ED49EA">
              <w:rPr>
                <w:rFonts w:ascii="Calibri" w:hAnsi="Calibri"/>
                <w:b/>
                <w:sz w:val="20"/>
                <w:szCs w:val="18"/>
              </w:rPr>
              <w:t>(specificare)</w:t>
            </w: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ED49EA" w:rsidRDefault="00870680" w:rsidP="00ED49E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Preparazione</w:t>
            </w:r>
          </w:p>
        </w:tc>
      </w:tr>
      <w:tr w:rsidR="00E909DA" w:rsidRPr="00E71CA1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E909DA" w:rsidRPr="00220468" w:rsidRDefault="00870680" w:rsidP="00ED49E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Tempo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interdialisi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monitor ovvero da quando inizia la disinfezione fino al completamento del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priming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in HD bicarbonato</w:t>
            </w:r>
          </w:p>
        </w:tc>
        <w:tc>
          <w:tcPr>
            <w:tcW w:w="2612" w:type="dxa"/>
            <w:vAlign w:val="center"/>
          </w:tcPr>
          <w:p w:rsidR="00E909DA" w:rsidRPr="00D77C05" w:rsidRDefault="00E909D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E909DA" w:rsidRPr="00D77C05" w:rsidRDefault="00E909D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DF3DC5" w:rsidRDefault="00870680" w:rsidP="00DF3DC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Sicurezza</w:t>
            </w:r>
          </w:p>
        </w:tc>
      </w:tr>
      <w:tr w:rsidR="00E909DA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E909DA" w:rsidRPr="00220468" w:rsidRDefault="00870680" w:rsidP="00ED49E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Possibilità di monitoraggio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postpompa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dei regimi pressori e/o della reologia del circuito all'ingresso del dializzatore</w:t>
            </w:r>
          </w:p>
        </w:tc>
        <w:tc>
          <w:tcPr>
            <w:tcW w:w="2612" w:type="dxa"/>
            <w:vAlign w:val="center"/>
          </w:tcPr>
          <w:p w:rsidR="00E909DA" w:rsidRPr="00D77C05" w:rsidRDefault="00E909D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E909DA" w:rsidRPr="00D77C05" w:rsidRDefault="00E909D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Sistema di allarme in caso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trafilamento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o disconnessione dell'ago venoso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DF3DC5" w:rsidRDefault="00870680" w:rsidP="00DF3DC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Trattamento</w:t>
            </w: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Possibilità di passare da metodica con ago doppio a quella ad ago singolo (e viceversa) con doppia pompa, senza cambiare linee né dover interrompere il trattamento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Possibilità di aumentare il flusso del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dialisato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oltre i 700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Presenza di un sistema di gestione automatizzata (senza manovre da parte dell'operatore) delle procedure di fine trattamento e restituzione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lastRenderedPageBreak/>
              <w:t xml:space="preserve">Software di controllo per l'ottimizzazione dei flussi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reinfusione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che, monitorando le variabili di Ultrafiltrazione (UF) e Pressione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TransMembrana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(TMP), dia suggerimenti sulle modifiche delle condizione operative o le modifichi automaticamente attraverso sistemi a retroazione ad ansa chiusa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Dispositivo o metodo che comporti una procedura specifica durante la seduta per la valutazione del ricircolo dell'accesso vascolare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Presenza di un sistema ad ago singolo a flusso sangue continuo e controllo pressione all’interno del dializzatore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Sistema dedicato alla prevenzione degli episodi ipotensivi con metodologia in biofeedback con controllo a retroazione dei parametri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Possibilità di effettuare dialisi con tampone citrato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DF3DC5" w:rsidRDefault="00870680" w:rsidP="00DF3DC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Sicurezza/Trattamento</w:t>
            </w: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Funzione di gestione rapida delle criticità cliniche del paziente con singolo comando che determini la riduzione immediata del QB, posizionamento a UF minima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Possibilità di effettuare bolo di infusione con liquido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ultrapuro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autoprodotto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DF3DC5" w:rsidRDefault="00870680" w:rsidP="00DF3DC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Dializzatore</w:t>
            </w: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lastRenderedPageBreak/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basso flusso (KUF &lt;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dell’urea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dei fosfati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compresa tra 1,30 mq e 1,6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lastRenderedPageBreak/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compresa tra 1,61 mq e 1,89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870680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Filtro alto flusso (KUF ≥ 40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/h)</w:t>
            </w:r>
          </w:p>
          <w:p w:rsidR="00870680" w:rsidRPr="00220468" w:rsidRDefault="00870680" w:rsidP="0087068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 xml:space="preserve">Clearance della vitamina B12 con superficie ≥ 1,9 mq, considerando un valore di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Qb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=300 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Qd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=500ml/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min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Qf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>=0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E71CA1" w:rsidTr="00ED49EA">
        <w:trPr>
          <w:cantSplit/>
          <w:trHeight w:val="283"/>
          <w:jc w:val="center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870680" w:rsidRPr="00DF3DC5" w:rsidRDefault="00870680" w:rsidP="00DF3DC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70680">
              <w:rPr>
                <w:rFonts w:ascii="Calibri" w:hAnsi="Calibri"/>
                <w:b/>
                <w:sz w:val="20"/>
                <w:szCs w:val="20"/>
              </w:rPr>
              <w:t>Criteri ambientali</w:t>
            </w: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Possibilità di iniziare un trattamento dialitico dopo la disinfezione senza necessità di controllo diretto dei residui chimici nel caso di disinfezione chimica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680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0680">
              <w:rPr>
                <w:rFonts w:ascii="Calibri" w:hAnsi="Calibri"/>
                <w:sz w:val="20"/>
                <w:szCs w:val="20"/>
              </w:rPr>
              <w:t>Sistema programmabile automatico di risparmio del concentrato e dell'acqua in attesa del collegamento al paziente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Ecocompatibilità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dei filtri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0680" w:rsidRPr="00D77C05" w:rsidTr="00ED49EA">
        <w:trPr>
          <w:cantSplit/>
          <w:trHeight w:val="5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870680" w:rsidRPr="00220468" w:rsidRDefault="00870680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70680">
              <w:rPr>
                <w:rFonts w:ascii="Calibri" w:hAnsi="Calibri"/>
                <w:sz w:val="20"/>
                <w:szCs w:val="20"/>
              </w:rPr>
              <w:t>Ecocompatibilità</w:t>
            </w:r>
            <w:proofErr w:type="spellEnd"/>
            <w:r w:rsidRPr="00870680">
              <w:rPr>
                <w:rFonts w:ascii="Calibri" w:hAnsi="Calibri"/>
                <w:sz w:val="20"/>
                <w:szCs w:val="20"/>
              </w:rPr>
              <w:t xml:space="preserve"> dei concentrati</w:t>
            </w: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870680" w:rsidRPr="00D77C05" w:rsidRDefault="00870680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909DA" w:rsidRPr="00E909DA" w:rsidRDefault="00E909DA" w:rsidP="00E909D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909DA" w:rsidRPr="00E909DA" w:rsidRDefault="00E909DA" w:rsidP="00E909D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D49EA" w:rsidRDefault="00ED49EA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ED49EA">
        <w:rPr>
          <w:rFonts w:asciiTheme="minorHAnsi" w:hAnsiTheme="minorHAnsi" w:cs="Arial"/>
          <w:b/>
          <w:bCs/>
          <w:sz w:val="20"/>
          <w:szCs w:val="20"/>
        </w:rPr>
        <w:t>Quali ritenete possano essere, a Vostro giudizio, le caratteristiche tecniche di particolare interesse per le Amministrazioni</w:t>
      </w:r>
      <w:r w:rsidRPr="00ED49EA">
        <w:rPr>
          <w:rFonts w:asciiTheme="minorHAnsi" w:hAnsiTheme="minorHAnsi" w:cs="Arial"/>
          <w:bCs/>
          <w:sz w:val="20"/>
          <w:szCs w:val="20"/>
        </w:rPr>
        <w:t>? Precisare inoltre se la caratteristica è riscontrabile con prova pratica e/o mediante riscontro visivo sull’apparecchiatura</w:t>
      </w:r>
      <w:r w:rsidR="00A47D61">
        <w:rPr>
          <w:rFonts w:asciiTheme="minorHAnsi" w:hAnsiTheme="minorHAnsi" w:cs="Arial"/>
          <w:bCs/>
          <w:sz w:val="20"/>
          <w:szCs w:val="20"/>
        </w:rPr>
        <w:t xml:space="preserve"> e/o riscontro documentale.</w:t>
      </w:r>
    </w:p>
    <w:p w:rsidR="00ED49EA" w:rsidRDefault="00ED49EA" w:rsidP="00FE78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6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612"/>
      </w:tblGrid>
      <w:tr w:rsidR="00ED49EA" w:rsidRPr="00ED49EA" w:rsidTr="00ED49EA">
        <w:trPr>
          <w:cantSplit/>
          <w:trHeight w:val="710"/>
          <w:tblHeader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ED49EA" w:rsidRPr="00ED49EA" w:rsidRDefault="00ED49EA" w:rsidP="00ED49EA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Caratteristiche tecniche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ED49EA" w:rsidRPr="00ED49EA" w:rsidRDefault="00ED49EA" w:rsidP="00DF3DC5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Riscontrabile con prova pratica e/o mediante riscontro visivo </w:t>
            </w:r>
            <w:r w:rsidR="00A47D61">
              <w:rPr>
                <w:rFonts w:ascii="Calibri" w:hAnsi="Calibri"/>
                <w:b/>
                <w:sz w:val="20"/>
                <w:szCs w:val="18"/>
              </w:rPr>
              <w:t xml:space="preserve">e/o documentale </w:t>
            </w:r>
            <w:r w:rsidRPr="00ED49EA">
              <w:rPr>
                <w:rFonts w:ascii="Calibri" w:hAnsi="Calibri"/>
                <w:b/>
                <w:sz w:val="20"/>
                <w:szCs w:val="18"/>
              </w:rPr>
              <w:t>(specificare)</w:t>
            </w:r>
          </w:p>
        </w:tc>
      </w:tr>
      <w:tr w:rsidR="00ED49EA" w:rsidRPr="00E71CA1" w:rsidTr="00ED49EA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ED49EA" w:rsidRPr="00220468" w:rsidRDefault="00ED49EA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ED49EA" w:rsidRPr="00D77C05" w:rsidRDefault="00ED49E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49EA" w:rsidRPr="00D77C05" w:rsidTr="00ED49EA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ED49EA" w:rsidRPr="00220468" w:rsidRDefault="00ED49EA" w:rsidP="00DF3DC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ED49EA" w:rsidRPr="00D77C05" w:rsidRDefault="00ED49EA" w:rsidP="00DF3D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8E1" w:rsidRPr="009D4460" w:rsidRDefault="00FE78E1" w:rsidP="00FE78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78E1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7CA9" w:rsidRPr="00AF6FFE" w:rsidRDefault="00BE7CA9" w:rsidP="001371E2">
      <w:pPr>
        <w:pStyle w:val="Paragrafoelenco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F6FFE">
        <w:rPr>
          <w:rFonts w:asciiTheme="minorHAnsi" w:hAnsiTheme="minorHAnsi" w:cs="Arial"/>
          <w:bCs/>
          <w:sz w:val="20"/>
          <w:szCs w:val="20"/>
        </w:rPr>
        <w:t xml:space="preserve">Potreste indicarci il </w:t>
      </w:r>
      <w:r w:rsidRPr="001371E2">
        <w:rPr>
          <w:rFonts w:asciiTheme="minorHAnsi" w:hAnsiTheme="minorHAnsi" w:cs="Arial"/>
          <w:b/>
          <w:bCs/>
          <w:sz w:val="20"/>
          <w:szCs w:val="20"/>
        </w:rPr>
        <w:t>consumo energetico</w:t>
      </w:r>
      <w:r w:rsidR="001371E2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1371E2">
        <w:rPr>
          <w:rFonts w:asciiTheme="minorHAnsi" w:hAnsiTheme="minorHAnsi" w:cs="Arial"/>
          <w:b/>
          <w:bCs/>
          <w:sz w:val="20"/>
          <w:szCs w:val="20"/>
        </w:rPr>
        <w:t>idrico</w:t>
      </w:r>
      <w:r w:rsidRPr="00AF6FFE">
        <w:rPr>
          <w:rFonts w:asciiTheme="minorHAnsi" w:hAnsiTheme="minorHAnsi" w:cs="Arial"/>
          <w:bCs/>
          <w:sz w:val="20"/>
          <w:szCs w:val="20"/>
        </w:rPr>
        <w:t xml:space="preserve"> dell’apparecchiatura sia in fase di standby che in fase di utilizzo, specificando </w:t>
      </w:r>
      <w:r w:rsidRPr="00AF6FFE">
        <w:rPr>
          <w:rFonts w:asciiTheme="minorHAnsi" w:hAnsiTheme="minorHAnsi" w:cs="Arial"/>
          <w:bCs/>
          <w:sz w:val="20"/>
          <w:szCs w:val="20"/>
        </w:rPr>
        <w:t>la relativa modalità di calcolo</w:t>
      </w:r>
      <w:r w:rsidRPr="00AF6FFE">
        <w:rPr>
          <w:rFonts w:asciiTheme="minorHAnsi" w:hAnsiTheme="minorHAnsi" w:cs="Arial"/>
          <w:bCs/>
          <w:sz w:val="20"/>
          <w:szCs w:val="20"/>
        </w:rPr>
        <w:t>?</w:t>
      </w:r>
      <w:r w:rsidR="00AF6FF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F6FFE">
        <w:rPr>
          <w:rFonts w:asciiTheme="minorHAnsi" w:hAnsiTheme="minorHAnsi" w:cs="Arial"/>
          <w:bCs/>
          <w:sz w:val="20"/>
          <w:szCs w:val="20"/>
        </w:rPr>
        <w:t xml:space="preserve">In particolare, </w:t>
      </w:r>
      <w:r w:rsidR="00AF6FFE">
        <w:rPr>
          <w:rFonts w:asciiTheme="minorHAnsi" w:hAnsiTheme="minorHAnsi" w:cs="Arial"/>
          <w:bCs/>
          <w:sz w:val="20"/>
          <w:szCs w:val="20"/>
        </w:rPr>
        <w:t xml:space="preserve">Vi </w:t>
      </w:r>
      <w:r w:rsidRPr="00AF6FFE">
        <w:rPr>
          <w:rFonts w:asciiTheme="minorHAnsi" w:hAnsiTheme="minorHAnsi" w:cs="Arial"/>
          <w:bCs/>
          <w:sz w:val="20"/>
          <w:szCs w:val="20"/>
        </w:rPr>
        <w:t xml:space="preserve">chiediamo </w:t>
      </w:r>
      <w:r w:rsidR="001371E2">
        <w:rPr>
          <w:rFonts w:asciiTheme="minorHAnsi" w:hAnsiTheme="minorHAnsi" w:cs="Arial"/>
          <w:bCs/>
          <w:sz w:val="20"/>
          <w:szCs w:val="20"/>
        </w:rPr>
        <w:t xml:space="preserve">se, </w:t>
      </w:r>
      <w:r w:rsidRPr="00AF6FFE">
        <w:rPr>
          <w:rFonts w:asciiTheme="minorHAnsi" w:hAnsiTheme="minorHAnsi" w:cs="Arial"/>
          <w:bCs/>
          <w:sz w:val="20"/>
          <w:szCs w:val="20"/>
        </w:rPr>
        <w:t>per la determinazione di tali valori di consumo</w:t>
      </w:r>
      <w:r w:rsidR="001371E2">
        <w:rPr>
          <w:rFonts w:asciiTheme="minorHAnsi" w:hAnsiTheme="minorHAnsi" w:cs="Arial"/>
          <w:bCs/>
          <w:sz w:val="20"/>
          <w:szCs w:val="20"/>
        </w:rPr>
        <w:t>,</w:t>
      </w:r>
      <w:r w:rsidRPr="00AF6FFE">
        <w:rPr>
          <w:rFonts w:asciiTheme="minorHAnsi" w:hAnsiTheme="minorHAnsi" w:cs="Arial"/>
          <w:bCs/>
          <w:sz w:val="20"/>
          <w:szCs w:val="20"/>
        </w:rPr>
        <w:t xml:space="preserve"> vengono </w:t>
      </w:r>
      <w:r w:rsidR="001371E2">
        <w:rPr>
          <w:rFonts w:asciiTheme="minorHAnsi" w:hAnsiTheme="minorHAnsi" w:cs="Arial"/>
          <w:bCs/>
          <w:sz w:val="20"/>
          <w:szCs w:val="20"/>
        </w:rPr>
        <w:t xml:space="preserve">ad oggi </w:t>
      </w:r>
      <w:r w:rsidRPr="00AF6FFE">
        <w:rPr>
          <w:rFonts w:asciiTheme="minorHAnsi" w:hAnsiTheme="minorHAnsi" w:cs="Arial"/>
          <w:bCs/>
          <w:sz w:val="20"/>
          <w:szCs w:val="20"/>
        </w:rPr>
        <w:t>da Voi utilizzati i</w:t>
      </w:r>
      <w:r w:rsidR="00022720" w:rsidRPr="00AF6FF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22720" w:rsidRPr="00AF6FFE">
        <w:rPr>
          <w:rFonts w:asciiTheme="minorHAnsi" w:hAnsiTheme="minorHAnsi" w:cs="Arial"/>
          <w:b/>
          <w:bCs/>
          <w:sz w:val="20"/>
          <w:szCs w:val="20"/>
        </w:rPr>
        <w:t xml:space="preserve">criteri ambientali </w:t>
      </w:r>
      <w:r w:rsidR="001371E2" w:rsidRPr="00AF6FFE">
        <w:rPr>
          <w:rFonts w:asciiTheme="minorHAnsi" w:hAnsiTheme="minorHAnsi" w:cs="Arial"/>
          <w:bCs/>
          <w:sz w:val="20"/>
          <w:szCs w:val="20"/>
        </w:rPr>
        <w:t xml:space="preserve">relativi al </w:t>
      </w:r>
      <w:r w:rsidR="001371E2" w:rsidRPr="00AF6FFE">
        <w:rPr>
          <w:rFonts w:asciiTheme="minorHAnsi" w:hAnsiTheme="minorHAnsi" w:cs="Arial"/>
          <w:b/>
          <w:bCs/>
          <w:sz w:val="20"/>
          <w:szCs w:val="20"/>
        </w:rPr>
        <w:t xml:space="preserve">risparmio energetico </w:t>
      </w:r>
      <w:r w:rsidR="001371E2" w:rsidRPr="00AF6FFE">
        <w:rPr>
          <w:rFonts w:asciiTheme="minorHAnsi" w:hAnsiTheme="minorHAnsi" w:cs="Arial"/>
          <w:sz w:val="20"/>
          <w:szCs w:val="20"/>
        </w:rPr>
        <w:t xml:space="preserve">e </w:t>
      </w:r>
      <w:r w:rsidR="001371E2" w:rsidRPr="00AF6FFE">
        <w:rPr>
          <w:rFonts w:asciiTheme="minorHAnsi" w:hAnsiTheme="minorHAnsi" w:cs="Arial"/>
          <w:bCs/>
          <w:sz w:val="20"/>
          <w:szCs w:val="20"/>
        </w:rPr>
        <w:t>all’</w:t>
      </w:r>
      <w:r w:rsidR="001371E2" w:rsidRPr="00AF6FFE">
        <w:rPr>
          <w:rFonts w:asciiTheme="minorHAnsi" w:hAnsiTheme="minorHAnsi" w:cs="Arial"/>
          <w:b/>
          <w:bCs/>
          <w:sz w:val="20"/>
          <w:szCs w:val="20"/>
        </w:rPr>
        <w:t xml:space="preserve">efficienza </w:t>
      </w:r>
      <w:r w:rsidR="00022720" w:rsidRPr="00AF6FFE">
        <w:rPr>
          <w:rFonts w:asciiTheme="minorHAnsi" w:hAnsiTheme="minorHAnsi" w:cs="Arial"/>
          <w:b/>
          <w:bCs/>
          <w:sz w:val="20"/>
          <w:szCs w:val="20"/>
        </w:rPr>
        <w:t>sviluppati dalla Commissione Europea</w:t>
      </w:r>
      <w:r w:rsidR="00022720" w:rsidRPr="00AF6FFE">
        <w:rPr>
          <w:rFonts w:asciiTheme="minorHAnsi" w:hAnsiTheme="minorHAnsi" w:cs="Arial"/>
          <w:bCs/>
          <w:sz w:val="20"/>
          <w:szCs w:val="20"/>
        </w:rPr>
        <w:t xml:space="preserve"> (</w:t>
      </w:r>
      <w:hyperlink r:id="rId12" w:history="1">
        <w:r w:rsidR="00D472B8" w:rsidRPr="00AF6FFE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http://ec.europa.eu/environment/gpp/pdf/criteria/health/IT.pdf</w:t>
        </w:r>
      </w:hyperlink>
      <w:r w:rsidR="00022720" w:rsidRPr="00AF6FF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371E2">
        <w:rPr>
          <w:rFonts w:asciiTheme="minorHAnsi" w:hAnsiTheme="minorHAnsi" w:cs="Arial"/>
          <w:bCs/>
          <w:sz w:val="20"/>
          <w:szCs w:val="20"/>
        </w:rPr>
        <w:t xml:space="preserve">- </w:t>
      </w:r>
      <w:r w:rsidR="00D472B8" w:rsidRPr="00AF6FFE">
        <w:rPr>
          <w:rFonts w:asciiTheme="minorHAnsi" w:hAnsiTheme="minorHAnsi" w:cs="Arial"/>
          <w:bCs/>
          <w:sz w:val="20"/>
          <w:szCs w:val="20"/>
        </w:rPr>
        <w:t>paragraf</w:t>
      </w:r>
      <w:r w:rsidR="00297BD7" w:rsidRPr="00AF6FFE">
        <w:rPr>
          <w:rFonts w:asciiTheme="minorHAnsi" w:hAnsiTheme="minorHAnsi" w:cs="Arial"/>
          <w:bCs/>
          <w:sz w:val="20"/>
          <w:szCs w:val="20"/>
        </w:rPr>
        <w:t>i</w:t>
      </w:r>
      <w:r w:rsidR="00D472B8" w:rsidRPr="00AF6FFE">
        <w:rPr>
          <w:rFonts w:asciiTheme="minorHAnsi" w:hAnsiTheme="minorHAnsi" w:cs="Arial"/>
          <w:bCs/>
          <w:sz w:val="20"/>
          <w:szCs w:val="20"/>
        </w:rPr>
        <w:t xml:space="preserve"> 3.2-9</w:t>
      </w:r>
      <w:r w:rsidR="00297BD7" w:rsidRPr="00AF6FFE">
        <w:rPr>
          <w:rFonts w:asciiTheme="minorHAnsi" w:hAnsiTheme="minorHAnsi" w:cs="Arial"/>
          <w:bCs/>
          <w:sz w:val="20"/>
          <w:szCs w:val="20"/>
        </w:rPr>
        <w:t xml:space="preserve"> e 3.3-15</w:t>
      </w:r>
      <w:r w:rsidR="00D472B8" w:rsidRPr="00AF6FFE">
        <w:rPr>
          <w:rFonts w:asciiTheme="minorHAnsi" w:hAnsiTheme="minorHAnsi" w:cs="Arial"/>
          <w:bCs/>
          <w:sz w:val="20"/>
          <w:szCs w:val="20"/>
        </w:rPr>
        <w:t>)</w:t>
      </w:r>
      <w:r w:rsidR="001371E2">
        <w:rPr>
          <w:rFonts w:asciiTheme="minorHAnsi" w:hAnsiTheme="minorHAnsi" w:cs="Arial"/>
          <w:bCs/>
          <w:sz w:val="20"/>
          <w:szCs w:val="20"/>
        </w:rPr>
        <w:t>.</w:t>
      </w:r>
    </w:p>
    <w:p w:rsidR="00297BD7" w:rsidRDefault="001666CA" w:rsidP="00EC376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Ci sono altri criteri “green” che ritenete opportuno prevedere?</w:t>
      </w:r>
      <w:bookmarkStart w:id="0" w:name="_GoBack"/>
      <w:bookmarkEnd w:id="0"/>
    </w:p>
    <w:p w:rsidR="001666CA" w:rsidRDefault="001666CA" w:rsidP="00EC376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22720" w:rsidTr="00A2704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022720" w:rsidRDefault="00022720" w:rsidP="00A2704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022720" w:rsidRDefault="00022720" w:rsidP="000227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A3584" w:rsidRDefault="007A3584" w:rsidP="000227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97BD7" w:rsidRPr="00946623" w:rsidRDefault="001666CA" w:rsidP="00EC376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 è la policy della vostra Azienda per la gestione</w:t>
      </w:r>
      <w:r w:rsidR="00297BD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</w:t>
      </w:r>
      <w:r w:rsidR="00297BD7">
        <w:rPr>
          <w:rFonts w:asciiTheme="minorHAnsi" w:hAnsiTheme="minorHAnsi" w:cs="Arial"/>
          <w:bCs/>
          <w:sz w:val="20"/>
          <w:szCs w:val="20"/>
        </w:rPr>
        <w:t xml:space="preserve">l </w:t>
      </w:r>
      <w:r w:rsidR="00297BD7" w:rsidRPr="00EC3762">
        <w:rPr>
          <w:rFonts w:asciiTheme="minorHAnsi" w:hAnsiTheme="minorHAnsi" w:cs="Arial"/>
          <w:b/>
          <w:sz w:val="20"/>
          <w:szCs w:val="20"/>
        </w:rPr>
        <w:t>ciclo di vita</w:t>
      </w:r>
      <w:r w:rsidR="00297BD7">
        <w:rPr>
          <w:rFonts w:asciiTheme="minorHAnsi" w:hAnsiTheme="minorHAnsi" w:cs="Arial"/>
          <w:bCs/>
          <w:sz w:val="20"/>
          <w:szCs w:val="20"/>
        </w:rPr>
        <w:t xml:space="preserve"> de</w:t>
      </w:r>
      <w:r>
        <w:rPr>
          <w:rFonts w:asciiTheme="minorHAnsi" w:hAnsiTheme="minorHAnsi" w:cs="Arial"/>
          <w:bCs/>
          <w:sz w:val="20"/>
          <w:szCs w:val="20"/>
        </w:rPr>
        <w:t xml:space="preserve">lle apparecchiature (dalla scadenza di un contratto di service, di durata pari a </w:t>
      </w:r>
      <w:r w:rsidR="00A125BC">
        <w:rPr>
          <w:rFonts w:asciiTheme="minorHAnsi" w:hAnsiTheme="minorHAnsi" w:cs="Arial"/>
          <w:bCs/>
          <w:sz w:val="20"/>
          <w:szCs w:val="20"/>
        </w:rPr>
        <w:t>5 anni, fino allo smaltimento)?</w:t>
      </w:r>
    </w:p>
    <w:p w:rsidR="00297BD7" w:rsidRPr="009D4460" w:rsidRDefault="00297BD7" w:rsidP="00297BD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97BD7" w:rsidTr="00885A9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97BD7" w:rsidRDefault="00297BD7" w:rsidP="00885A9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97BD7" w:rsidRDefault="00297BD7" w:rsidP="00297BD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22720" w:rsidRPr="00ED49EA" w:rsidRDefault="00022720" w:rsidP="0002272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E78E1" w:rsidRDefault="00967053" w:rsidP="00ED49EA">
      <w:pPr>
        <w:numPr>
          <w:ilvl w:val="0"/>
          <w:numId w:val="38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967053">
        <w:rPr>
          <w:rFonts w:asciiTheme="minorHAnsi" w:hAnsiTheme="minorHAnsi" w:cs="Arial"/>
          <w:bCs/>
          <w:sz w:val="20"/>
          <w:szCs w:val="20"/>
        </w:rPr>
        <w:t>Avete degli elementi / informazioni che ritenete possano essere utili per lo sviluppo dell’iniziativa</w:t>
      </w:r>
      <w:r w:rsidR="00B5724E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B5724E" w:rsidRPr="00B5724E">
        <w:rPr>
          <w:rFonts w:asciiTheme="minorHAnsi" w:hAnsiTheme="minorHAnsi" w:cs="Arial"/>
          <w:bCs/>
          <w:sz w:val="20"/>
          <w:szCs w:val="20"/>
        </w:rPr>
        <w:t>anche alla luce dell’analisi della precedente edizione?</w:t>
      </w:r>
    </w:p>
    <w:p w:rsidR="00FE78E1" w:rsidRPr="009D4460" w:rsidRDefault="00FE78E1" w:rsidP="00FE78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E78E1" w:rsidTr="008A38D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E78E1" w:rsidRDefault="00FE78E1" w:rsidP="008A38D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E78E1" w:rsidRDefault="00FE78E1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A125BC" w:rsidRDefault="00A125BC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A125BC" w:rsidRPr="00ED49EA" w:rsidRDefault="00A125BC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Pr="00ED49EA" w:rsidRDefault="007D216F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D216F" w:rsidRPr="00ED49EA" w:rsidRDefault="007D216F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737A" w:rsidRPr="00ED49EA" w:rsidRDefault="00FA737A" w:rsidP="00ED49E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C3762">
              <w:rPr>
                <w:rFonts w:asciiTheme="minorHAnsi" w:hAnsiTheme="minorHAnsi" w:cs="Arial"/>
                <w:bCs/>
                <w:sz w:val="20"/>
                <w:szCs w:val="20"/>
              </w:rPr>
              <w:t>[</w:t>
            </w:r>
            <w:r w:rsidRPr="007C2D96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Nome e Cognome</w:t>
            </w:r>
            <w:r w:rsidRPr="00EC3762">
              <w:rPr>
                <w:rFonts w:asciiTheme="minorHAnsi" w:hAnsiTheme="minorHAnsi" w:cs="Arial"/>
                <w:bCs/>
                <w:sz w:val="20"/>
                <w:szCs w:val="20"/>
              </w:rPr>
              <w:t>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FE78E1" w:rsidRPr="00ED49EA" w:rsidRDefault="00FE78E1" w:rsidP="007C2D96">
      <w:pPr>
        <w:ind w:left="284"/>
        <w:rPr>
          <w:rFonts w:asciiTheme="minorHAnsi" w:hAnsiTheme="minorHAnsi" w:cs="Arial"/>
          <w:bCs/>
          <w:sz w:val="20"/>
          <w:szCs w:val="20"/>
        </w:rPr>
      </w:pPr>
    </w:p>
    <w:sectPr w:rsidR="00FE78E1" w:rsidRPr="00ED49EA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E3" w:rsidRDefault="003601E3">
      <w:r>
        <w:separator/>
      </w:r>
    </w:p>
  </w:endnote>
  <w:endnote w:type="continuationSeparator" w:id="0">
    <w:p w:rsidR="003601E3" w:rsidRDefault="003601E3">
      <w:r>
        <w:continuationSeparator/>
      </w:r>
    </w:p>
  </w:endnote>
  <w:endnote w:type="continuationNotice" w:id="1">
    <w:p w:rsidR="003601E3" w:rsidRDefault="00360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07A3648">
              <wp:simplePos x="0" y="0"/>
              <wp:positionH relativeFrom="column">
                <wp:posOffset>4625340</wp:posOffset>
              </wp:positionH>
              <wp:positionV relativeFrom="paragraph">
                <wp:posOffset>26670</wp:posOffset>
              </wp:positionV>
              <wp:extent cx="78867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Default="00933D1D" w:rsidP="00933D1D"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71E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71E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4.2pt;margin-top:2.1pt;width:62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" stroked="f">
              <v:textbox>
                <w:txbxContent>
                  <w:p w:rsidR="00933D1D" w:rsidRDefault="00933D1D" w:rsidP="00933D1D"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71E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71E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Default="00E27BC8" w:rsidP="0086334D"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71E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71E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Default="00E27BC8" w:rsidP="0086334D"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71E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371E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E3" w:rsidRDefault="003601E3">
      <w:r>
        <w:separator/>
      </w:r>
    </w:p>
  </w:footnote>
  <w:footnote w:type="continuationSeparator" w:id="0">
    <w:p w:rsidR="003601E3" w:rsidRDefault="003601E3">
      <w:r>
        <w:continuationSeparator/>
      </w:r>
    </w:p>
  </w:footnote>
  <w:footnote w:type="continuationNotice" w:id="1">
    <w:p w:rsidR="003601E3" w:rsidRDefault="00360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54CE"/>
    <w:multiLevelType w:val="hybridMultilevel"/>
    <w:tmpl w:val="48960514"/>
    <w:lvl w:ilvl="0" w:tplc="0410000F">
      <w:start w:val="1"/>
      <w:numFmt w:val="decimal"/>
      <w:lvlText w:val="%1."/>
      <w:lvlJc w:val="left"/>
      <w:pPr>
        <w:ind w:left="897" w:hanging="360"/>
      </w:pPr>
    </w:lvl>
    <w:lvl w:ilvl="1" w:tplc="04100019" w:tentative="1">
      <w:start w:val="1"/>
      <w:numFmt w:val="lowerLetter"/>
      <w:lvlText w:val="%2."/>
      <w:lvlJc w:val="left"/>
      <w:pPr>
        <w:ind w:left="1617" w:hanging="360"/>
      </w:pPr>
    </w:lvl>
    <w:lvl w:ilvl="2" w:tplc="0410001B" w:tentative="1">
      <w:start w:val="1"/>
      <w:numFmt w:val="lowerRoman"/>
      <w:lvlText w:val="%3."/>
      <w:lvlJc w:val="right"/>
      <w:pPr>
        <w:ind w:left="2337" w:hanging="180"/>
      </w:pPr>
    </w:lvl>
    <w:lvl w:ilvl="3" w:tplc="0410000F" w:tentative="1">
      <w:start w:val="1"/>
      <w:numFmt w:val="decimal"/>
      <w:lvlText w:val="%4."/>
      <w:lvlJc w:val="left"/>
      <w:pPr>
        <w:ind w:left="3057" w:hanging="360"/>
      </w:pPr>
    </w:lvl>
    <w:lvl w:ilvl="4" w:tplc="04100019" w:tentative="1">
      <w:start w:val="1"/>
      <w:numFmt w:val="lowerLetter"/>
      <w:lvlText w:val="%5."/>
      <w:lvlJc w:val="left"/>
      <w:pPr>
        <w:ind w:left="3777" w:hanging="360"/>
      </w:pPr>
    </w:lvl>
    <w:lvl w:ilvl="5" w:tplc="0410001B" w:tentative="1">
      <w:start w:val="1"/>
      <w:numFmt w:val="lowerRoman"/>
      <w:lvlText w:val="%6."/>
      <w:lvlJc w:val="right"/>
      <w:pPr>
        <w:ind w:left="4497" w:hanging="180"/>
      </w:pPr>
    </w:lvl>
    <w:lvl w:ilvl="6" w:tplc="0410000F" w:tentative="1">
      <w:start w:val="1"/>
      <w:numFmt w:val="decimal"/>
      <w:lvlText w:val="%7."/>
      <w:lvlJc w:val="left"/>
      <w:pPr>
        <w:ind w:left="5217" w:hanging="360"/>
      </w:pPr>
    </w:lvl>
    <w:lvl w:ilvl="7" w:tplc="04100019" w:tentative="1">
      <w:start w:val="1"/>
      <w:numFmt w:val="lowerLetter"/>
      <w:lvlText w:val="%8."/>
      <w:lvlJc w:val="left"/>
      <w:pPr>
        <w:ind w:left="5937" w:hanging="360"/>
      </w:pPr>
    </w:lvl>
    <w:lvl w:ilvl="8" w:tplc="0410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FE230F"/>
    <w:multiLevelType w:val="hybridMultilevel"/>
    <w:tmpl w:val="3E8E1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8746CB"/>
    <w:multiLevelType w:val="hybridMultilevel"/>
    <w:tmpl w:val="B5F87BB8"/>
    <w:lvl w:ilvl="0" w:tplc="1E5CEEBE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45B5C"/>
    <w:multiLevelType w:val="hybridMultilevel"/>
    <w:tmpl w:val="2716024A"/>
    <w:lvl w:ilvl="0" w:tplc="F45CF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996DF7"/>
    <w:multiLevelType w:val="hybridMultilevel"/>
    <w:tmpl w:val="E69A3F32"/>
    <w:lvl w:ilvl="0" w:tplc="E0B40D6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B49E81E8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3"/>
  </w:num>
  <w:num w:numId="11">
    <w:abstractNumId w:val="26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30"/>
  </w:num>
  <w:num w:numId="18">
    <w:abstractNumId w:val="14"/>
  </w:num>
  <w:num w:numId="19">
    <w:abstractNumId w:val="15"/>
  </w:num>
  <w:num w:numId="20">
    <w:abstractNumId w:val="40"/>
  </w:num>
  <w:num w:numId="21">
    <w:abstractNumId w:val="41"/>
  </w:num>
  <w:num w:numId="22">
    <w:abstractNumId w:val="13"/>
  </w:num>
  <w:num w:numId="23">
    <w:abstractNumId w:val="5"/>
  </w:num>
  <w:num w:numId="24">
    <w:abstractNumId w:val="42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10"/>
  </w:num>
  <w:num w:numId="30">
    <w:abstractNumId w:val="27"/>
  </w:num>
  <w:num w:numId="31">
    <w:abstractNumId w:val="38"/>
  </w:num>
  <w:num w:numId="32">
    <w:abstractNumId w:val="35"/>
  </w:num>
  <w:num w:numId="33">
    <w:abstractNumId w:val="34"/>
  </w:num>
  <w:num w:numId="34">
    <w:abstractNumId w:val="11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  <w:num w:numId="43">
    <w:abstractNumId w:val="9"/>
  </w:num>
  <w:num w:numId="44">
    <w:abstractNumId w:val="29"/>
  </w:num>
  <w:num w:numId="45">
    <w:abstractNumId w:val="39"/>
  </w:num>
  <w:num w:numId="46">
    <w:abstractNumId w:val="1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720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741"/>
    <w:rsid w:val="000A7DEE"/>
    <w:rsid w:val="000B40D4"/>
    <w:rsid w:val="000E7ACC"/>
    <w:rsid w:val="000F0E1A"/>
    <w:rsid w:val="000F3AA2"/>
    <w:rsid w:val="000F3E6D"/>
    <w:rsid w:val="000F3F55"/>
    <w:rsid w:val="000F493B"/>
    <w:rsid w:val="000F5BA1"/>
    <w:rsid w:val="001044B2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371E2"/>
    <w:rsid w:val="00143B1A"/>
    <w:rsid w:val="0014590B"/>
    <w:rsid w:val="0014734F"/>
    <w:rsid w:val="00147E56"/>
    <w:rsid w:val="00163F7A"/>
    <w:rsid w:val="00165527"/>
    <w:rsid w:val="001666CA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20F8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97BD7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0E48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01E3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35765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61D9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546A"/>
    <w:rsid w:val="004F0C27"/>
    <w:rsid w:val="004F2026"/>
    <w:rsid w:val="004F2482"/>
    <w:rsid w:val="004F26FC"/>
    <w:rsid w:val="004F73E8"/>
    <w:rsid w:val="00501522"/>
    <w:rsid w:val="005026ED"/>
    <w:rsid w:val="0051129F"/>
    <w:rsid w:val="0051181E"/>
    <w:rsid w:val="005126FB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26FC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3584"/>
    <w:rsid w:val="007A725C"/>
    <w:rsid w:val="007C0436"/>
    <w:rsid w:val="007C2D9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9AF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0568"/>
    <w:rsid w:val="00827C3B"/>
    <w:rsid w:val="0083009E"/>
    <w:rsid w:val="00835E09"/>
    <w:rsid w:val="00843339"/>
    <w:rsid w:val="008442AC"/>
    <w:rsid w:val="00844956"/>
    <w:rsid w:val="008449F2"/>
    <w:rsid w:val="00850EFD"/>
    <w:rsid w:val="008556E2"/>
    <w:rsid w:val="00861A86"/>
    <w:rsid w:val="00863217"/>
    <w:rsid w:val="0086334D"/>
    <w:rsid w:val="00865348"/>
    <w:rsid w:val="00865673"/>
    <w:rsid w:val="008700DA"/>
    <w:rsid w:val="00870680"/>
    <w:rsid w:val="00871D33"/>
    <w:rsid w:val="00880708"/>
    <w:rsid w:val="00881532"/>
    <w:rsid w:val="0088269B"/>
    <w:rsid w:val="00884A9D"/>
    <w:rsid w:val="0088783D"/>
    <w:rsid w:val="00892D0C"/>
    <w:rsid w:val="00894DC5"/>
    <w:rsid w:val="008A0762"/>
    <w:rsid w:val="008A40B2"/>
    <w:rsid w:val="008B4D88"/>
    <w:rsid w:val="008C5EC3"/>
    <w:rsid w:val="008C6868"/>
    <w:rsid w:val="008D0FCC"/>
    <w:rsid w:val="008D3193"/>
    <w:rsid w:val="008E09F1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46623"/>
    <w:rsid w:val="00951110"/>
    <w:rsid w:val="00952F86"/>
    <w:rsid w:val="00953399"/>
    <w:rsid w:val="00955FB5"/>
    <w:rsid w:val="009615FF"/>
    <w:rsid w:val="00967053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235B"/>
    <w:rsid w:val="009E4512"/>
    <w:rsid w:val="009E6B94"/>
    <w:rsid w:val="009F5155"/>
    <w:rsid w:val="009F5A5B"/>
    <w:rsid w:val="00A10220"/>
    <w:rsid w:val="00A107C0"/>
    <w:rsid w:val="00A125BC"/>
    <w:rsid w:val="00A143BD"/>
    <w:rsid w:val="00A1686E"/>
    <w:rsid w:val="00A25B79"/>
    <w:rsid w:val="00A377DE"/>
    <w:rsid w:val="00A4017B"/>
    <w:rsid w:val="00A47703"/>
    <w:rsid w:val="00A47D61"/>
    <w:rsid w:val="00A562D5"/>
    <w:rsid w:val="00A57589"/>
    <w:rsid w:val="00A63698"/>
    <w:rsid w:val="00A73E51"/>
    <w:rsid w:val="00A82D2A"/>
    <w:rsid w:val="00A85025"/>
    <w:rsid w:val="00A90958"/>
    <w:rsid w:val="00A93962"/>
    <w:rsid w:val="00A9511B"/>
    <w:rsid w:val="00A963C8"/>
    <w:rsid w:val="00A96A0E"/>
    <w:rsid w:val="00A96ABA"/>
    <w:rsid w:val="00AA0F10"/>
    <w:rsid w:val="00AB459D"/>
    <w:rsid w:val="00AB6546"/>
    <w:rsid w:val="00AC004C"/>
    <w:rsid w:val="00AC122A"/>
    <w:rsid w:val="00AC170B"/>
    <w:rsid w:val="00AD2273"/>
    <w:rsid w:val="00AD534A"/>
    <w:rsid w:val="00AE4BE7"/>
    <w:rsid w:val="00AF3D8A"/>
    <w:rsid w:val="00AF6FFE"/>
    <w:rsid w:val="00AF7F35"/>
    <w:rsid w:val="00B02886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3661"/>
    <w:rsid w:val="00B54E96"/>
    <w:rsid w:val="00B5724E"/>
    <w:rsid w:val="00B60155"/>
    <w:rsid w:val="00B60D95"/>
    <w:rsid w:val="00B63A76"/>
    <w:rsid w:val="00B6451A"/>
    <w:rsid w:val="00B64E33"/>
    <w:rsid w:val="00B76D97"/>
    <w:rsid w:val="00B90AD1"/>
    <w:rsid w:val="00BA2E23"/>
    <w:rsid w:val="00BA3E35"/>
    <w:rsid w:val="00BB3CC6"/>
    <w:rsid w:val="00BB3D28"/>
    <w:rsid w:val="00BB4433"/>
    <w:rsid w:val="00BC1A12"/>
    <w:rsid w:val="00BC2589"/>
    <w:rsid w:val="00BD4952"/>
    <w:rsid w:val="00BD6D3A"/>
    <w:rsid w:val="00BE19B5"/>
    <w:rsid w:val="00BE2716"/>
    <w:rsid w:val="00BE7CA9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C16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0DB"/>
    <w:rsid w:val="00CE01CE"/>
    <w:rsid w:val="00CE1696"/>
    <w:rsid w:val="00CE5979"/>
    <w:rsid w:val="00CE5CCA"/>
    <w:rsid w:val="00CE72E2"/>
    <w:rsid w:val="00CF3D07"/>
    <w:rsid w:val="00CF4758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2B8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09DA"/>
    <w:rsid w:val="00E9255B"/>
    <w:rsid w:val="00E97335"/>
    <w:rsid w:val="00EA2765"/>
    <w:rsid w:val="00EA3416"/>
    <w:rsid w:val="00EB1F98"/>
    <w:rsid w:val="00EB2BF1"/>
    <w:rsid w:val="00EB480F"/>
    <w:rsid w:val="00EB6976"/>
    <w:rsid w:val="00EB6DB1"/>
    <w:rsid w:val="00EC3762"/>
    <w:rsid w:val="00EC4F33"/>
    <w:rsid w:val="00ED2B67"/>
    <w:rsid w:val="00ED3868"/>
    <w:rsid w:val="00ED49EA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324D"/>
    <w:rsid w:val="00F372BA"/>
    <w:rsid w:val="00F3739E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78E1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ec.europa.eu/environment/gpp/pdf/criteria/health/I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DD6A-9D9A-467E-B92A-16796914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2768</Words>
  <Characters>15780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2018-09-06T08:36:00Z</dcterms:created>
  <dcterms:modified xsi:type="dcterms:W3CDTF">2018-09-06T13:21:00Z</dcterms:modified>
</cp:coreProperties>
</file>