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85067" w14:textId="77777777" w:rsidR="006C414B" w:rsidRDefault="006C414B" w:rsidP="00A6739B"/>
    <w:p w14:paraId="11916C38" w14:textId="77777777" w:rsidR="006C414B" w:rsidRDefault="0057183C" w:rsidP="00A6739B">
      <w:pPr>
        <w:pStyle w:val="Titolocopertina"/>
      </w:pPr>
      <w:r>
        <w:t>Gara a procedura a</w:t>
      </w:r>
      <w:r w:rsidRPr="0057183C">
        <w:t xml:space="preserve">perta, ai sensi del D. Lgs. </w:t>
      </w:r>
      <w:r>
        <w:t xml:space="preserve">36/2023 </w:t>
      </w:r>
      <w:r w:rsidRPr="0057183C">
        <w:t xml:space="preserve">per l’affidamento dei servizi di monitoraggio per la Service Control Room di INAIL – ID </w:t>
      </w:r>
      <w:r>
        <w:t>2765</w:t>
      </w:r>
    </w:p>
    <w:p w14:paraId="12F149EF" w14:textId="77777777" w:rsidR="006C414B" w:rsidRDefault="006C414B" w:rsidP="00A6739B"/>
    <w:p w14:paraId="4DAE0208" w14:textId="77777777" w:rsidR="006C414B" w:rsidRDefault="006C414B" w:rsidP="00A6739B"/>
    <w:p w14:paraId="2790CD31" w14:textId="77777777" w:rsidR="006C414B" w:rsidRDefault="006C414B" w:rsidP="00A6739B"/>
    <w:p w14:paraId="791C93EF" w14:textId="77777777" w:rsidR="006C414B" w:rsidRDefault="006C414B" w:rsidP="00A6739B"/>
    <w:p w14:paraId="58642E6F" w14:textId="77777777" w:rsidR="006C414B" w:rsidRDefault="00A82C5B" w:rsidP="00A6739B">
      <w:pPr>
        <w:pStyle w:val="Titoli14bold"/>
      </w:pPr>
      <w:r>
        <w:t>DOCUMENTO DI CONSULTAZIONE DEL MERCATO</w:t>
      </w:r>
    </w:p>
    <w:p w14:paraId="165646D9" w14:textId="77777777" w:rsidR="006C414B" w:rsidRDefault="00A82C5B" w:rsidP="00A6739B">
      <w:pPr>
        <w:pStyle w:val="Titoli14bold"/>
      </w:pPr>
      <w:r>
        <w:t>QUESTIONARIO GENERALE</w:t>
      </w:r>
    </w:p>
    <w:p w14:paraId="06E8A33D" w14:textId="77777777" w:rsidR="006C414B" w:rsidRDefault="006C414B" w:rsidP="00A6739B"/>
    <w:p w14:paraId="25CB1BAD" w14:textId="77777777" w:rsidR="006C414B" w:rsidRDefault="006C414B" w:rsidP="00A6739B"/>
    <w:p w14:paraId="7BF17E61" w14:textId="77777777" w:rsidR="006C414B" w:rsidRDefault="006C414B" w:rsidP="00A6739B"/>
    <w:p w14:paraId="7A8A5AD4" w14:textId="77777777" w:rsidR="006C414B" w:rsidRDefault="006C414B" w:rsidP="00A6739B"/>
    <w:p w14:paraId="28CB6024" w14:textId="77777777" w:rsidR="006C414B" w:rsidRDefault="006C414B" w:rsidP="00A6739B"/>
    <w:p w14:paraId="1D3418ED" w14:textId="77777777" w:rsidR="006C414B" w:rsidRPr="004E4EFE" w:rsidRDefault="00A82C5B" w:rsidP="00A6739B">
      <w:pPr>
        <w:rPr>
          <w:b/>
          <w:i/>
        </w:rPr>
      </w:pPr>
      <w:r w:rsidRPr="004E4EFE">
        <w:rPr>
          <w:b/>
          <w:i/>
        </w:rPr>
        <w:t>Da inviare a mezzo mail all’indirizzo:</w:t>
      </w:r>
    </w:p>
    <w:p w14:paraId="72ACF963" w14:textId="77777777" w:rsidR="006C414B" w:rsidRPr="00393611" w:rsidRDefault="00C76CC7" w:rsidP="00A6739B">
      <w:pPr>
        <w:rPr>
          <w:b/>
        </w:rPr>
      </w:pPr>
      <w:hyperlink r:id="rId8" w:history="1">
        <w:r w:rsidR="00CB6158" w:rsidRPr="00393611">
          <w:rPr>
            <w:rStyle w:val="Collegamentoipertestuale"/>
            <w:rFonts w:cstheme="minorHAnsi"/>
          </w:rPr>
          <w:t>ictconsip@postacert.consip.it</w:t>
        </w:r>
      </w:hyperlink>
    </w:p>
    <w:p w14:paraId="70E83B21" w14:textId="77777777" w:rsidR="006C414B" w:rsidRPr="00393611" w:rsidRDefault="006C414B" w:rsidP="00A6739B"/>
    <w:p w14:paraId="18315E0C" w14:textId="77777777" w:rsidR="006C414B" w:rsidRPr="00393611" w:rsidRDefault="00A82C5B" w:rsidP="00A6739B">
      <w:r w:rsidRPr="00393611">
        <w:t xml:space="preserve">Roma, </w:t>
      </w:r>
      <w:r w:rsidR="0057183C" w:rsidRPr="0057183C">
        <w:rPr>
          <w:highlight w:val="yellow"/>
        </w:rPr>
        <w:t>xxx</w:t>
      </w:r>
    </w:p>
    <w:p w14:paraId="38F1ABFB" w14:textId="77777777" w:rsidR="006C414B" w:rsidRPr="00393611" w:rsidRDefault="00A82C5B" w:rsidP="00A6739B">
      <w:r w:rsidRPr="00393611">
        <w:br w:type="page"/>
      </w:r>
    </w:p>
    <w:p w14:paraId="2A5F89D0" w14:textId="77777777" w:rsidR="006C414B" w:rsidRDefault="00A82C5B" w:rsidP="00A6739B">
      <w:pPr>
        <w:pStyle w:val="Titolo1"/>
        <w:rPr>
          <w:sz w:val="18"/>
        </w:rPr>
      </w:pPr>
      <w:r>
        <w:lastRenderedPageBreak/>
        <w:t>Premessa</w:t>
      </w:r>
      <w:r>
        <w:rPr>
          <w:sz w:val="18"/>
        </w:rPr>
        <w:tab/>
      </w:r>
    </w:p>
    <w:p w14:paraId="2E36AAEF" w14:textId="77777777" w:rsidR="00B81DCD" w:rsidRPr="00CB6158" w:rsidRDefault="00B81DCD" w:rsidP="00B81DCD">
      <w:r>
        <w:t>N</w:t>
      </w:r>
      <w:r w:rsidRPr="00CB6158">
        <w:t xml:space="preserve">ell'ambito della Convenzione, </w:t>
      </w:r>
      <w:r w:rsidRPr="00FD1B50">
        <w:t xml:space="preserve">stipulata in data </w:t>
      </w:r>
      <w:r w:rsidRPr="005A6944">
        <w:t>17 marzo 2022</w:t>
      </w:r>
      <w:r w:rsidRPr="00CB6158">
        <w:t>, INAIL</w:t>
      </w:r>
      <w:r>
        <w:t xml:space="preserve"> (di seguito anche “Committente” e/o “Istituto”)</w:t>
      </w:r>
      <w:r w:rsidRPr="00CB6158">
        <w:t xml:space="preserve"> ha affidato a Consip S.p.A. </w:t>
      </w:r>
      <w:r>
        <w:t xml:space="preserve">(di seguito anche “Stazione appaltante") </w:t>
      </w:r>
      <w:r w:rsidRPr="00CB6158">
        <w:t>lo svolgimento di attività di supporto in tema di acquisizione di beni e servizi al duplice fine di supportare gli obiettivi di finanza pubblica, favorendo l'utilizzo di strumenti informatici nella P.A. e promuovere la semplificazione, l'innovazione e il cambiamento.</w:t>
      </w:r>
    </w:p>
    <w:p w14:paraId="02485969" w14:textId="77777777" w:rsidR="00B81DCD" w:rsidRPr="00A6739B" w:rsidRDefault="00B81DCD" w:rsidP="00B81DCD">
      <w:r w:rsidRPr="00CB6158">
        <w:t xml:space="preserve">In ragione del ruolo rivestito per </w:t>
      </w:r>
      <w:r>
        <w:t>la Committente</w:t>
      </w:r>
      <w:r w:rsidRPr="00CB6158">
        <w:t xml:space="preserve">, la Consip S.p.a., intende procedere alla pubblicazione </w:t>
      </w:r>
      <w:r>
        <w:t>del presente documento di</w:t>
      </w:r>
      <w:r w:rsidRPr="00CB6158">
        <w:t xml:space="preserve"> </w:t>
      </w:r>
      <w:r>
        <w:t>c</w:t>
      </w:r>
      <w:r w:rsidRPr="00CB6158">
        <w:t>onsultazione del mercato</w:t>
      </w:r>
      <w:r>
        <w:t xml:space="preserve"> che,</w:t>
      </w:r>
      <w:r w:rsidRPr="00A6739B">
        <w:t xml:space="preserve"> in coerenza </w:t>
      </w:r>
      <w:r w:rsidR="0057183C" w:rsidRPr="008B117D">
        <w:t xml:space="preserve">con quanto </w:t>
      </w:r>
      <w:r w:rsidR="0057183C" w:rsidRPr="002B23E7">
        <w:t>indicato nell’art. 77 del D.Lgs 36/2023 (Consultazioni preliminari di mercato)</w:t>
      </w:r>
      <w:r w:rsidRPr="00A6739B">
        <w:t xml:space="preserve">, ha l’obiettivo di: </w:t>
      </w:r>
    </w:p>
    <w:p w14:paraId="2C9AC8AB" w14:textId="77777777" w:rsidR="006C414B" w:rsidRPr="006A6D00" w:rsidRDefault="00A82C5B" w:rsidP="004E4EFE">
      <w:pPr>
        <w:pStyle w:val="BodyText21"/>
        <w:numPr>
          <w:ilvl w:val="0"/>
          <w:numId w:val="2"/>
        </w:numPr>
        <w:tabs>
          <w:tab w:val="clear" w:pos="2160"/>
        </w:tabs>
        <w:ind w:left="851"/>
        <w:rPr>
          <w:rStyle w:val="Enfasigrassetto"/>
        </w:rPr>
      </w:pPr>
      <w:r w:rsidRPr="006A6D00">
        <w:rPr>
          <w:rStyle w:val="Enfasigrassetto"/>
        </w:rPr>
        <w:t xml:space="preserve">garantire la massima pubblicità alle iniziative per assicurare la più ampia diffusione delle informazioni ed un celere svolgimento delle procedure di acquisto; </w:t>
      </w:r>
    </w:p>
    <w:p w14:paraId="49111274" w14:textId="77777777" w:rsidR="006C414B" w:rsidRPr="006A6D00" w:rsidRDefault="00A82C5B" w:rsidP="004E4EFE">
      <w:pPr>
        <w:pStyle w:val="BodyText21"/>
        <w:numPr>
          <w:ilvl w:val="0"/>
          <w:numId w:val="2"/>
        </w:numPr>
        <w:tabs>
          <w:tab w:val="clear" w:pos="2160"/>
        </w:tabs>
        <w:ind w:left="851"/>
        <w:rPr>
          <w:rStyle w:val="Enfasigrassetto"/>
        </w:rPr>
      </w:pPr>
      <w:r w:rsidRPr="006A6D00">
        <w:rPr>
          <w:rStyle w:val="Enfasigrassetto"/>
        </w:rPr>
        <w:t>ottenere la più proficua partecipazione da parte dei soggetti interessati;</w:t>
      </w:r>
    </w:p>
    <w:p w14:paraId="2EFDBDD0" w14:textId="77777777" w:rsidR="004840CD" w:rsidRDefault="00A82C5B" w:rsidP="00E0627F">
      <w:pPr>
        <w:pStyle w:val="BodyText21"/>
        <w:numPr>
          <w:ilvl w:val="0"/>
          <w:numId w:val="2"/>
        </w:numPr>
        <w:tabs>
          <w:tab w:val="clear" w:pos="2160"/>
        </w:tabs>
        <w:ind w:left="851"/>
      </w:pPr>
      <w:r w:rsidRPr="006A6D00">
        <w:rPr>
          <w:rStyle w:val="Enfasigrassetto"/>
        </w:rPr>
        <w:t>pubblicizzare al meglio le caratteristiche qualitative e tecniche dei beni e servizi oggetto di analisi;</w:t>
      </w:r>
    </w:p>
    <w:p w14:paraId="5767ADF3" w14:textId="77777777" w:rsidR="00345BB6" w:rsidRPr="006A6D00" w:rsidRDefault="004840CD" w:rsidP="0057183C">
      <w:pPr>
        <w:pStyle w:val="BodyText21"/>
        <w:numPr>
          <w:ilvl w:val="0"/>
          <w:numId w:val="2"/>
        </w:numPr>
        <w:tabs>
          <w:tab w:val="clear" w:pos="2160"/>
        </w:tabs>
        <w:ind w:left="851"/>
        <w:rPr>
          <w:rStyle w:val="Enfasigrassetto"/>
        </w:rPr>
      </w:pPr>
      <w:r>
        <w:t>r</w:t>
      </w:r>
      <w:r w:rsidR="00AA3E6F" w:rsidRPr="00AA3E6F">
        <w:t>icevere, da parte dei soggetti interessati, osservazioni e suggerimenti per una più compiuta conoscenza del mercato, avuto riguardo a eventuali soluzioni alternative purché rispondenti in toto alle esigenze dell’Amministrazione di seguito riportate</w:t>
      </w:r>
      <w:r w:rsidR="0057183C">
        <w:t xml:space="preserve">, </w:t>
      </w:r>
      <w:r w:rsidR="0057183C" w:rsidRPr="0057183C">
        <w:t>nonché alle condizioni di prezzo mediamente praticate</w:t>
      </w:r>
      <w:r w:rsidR="00AA3E6F" w:rsidRPr="00AA3E6F">
        <w:t>.</w:t>
      </w:r>
    </w:p>
    <w:p w14:paraId="3F8937DE" w14:textId="77777777" w:rsidR="006C414B" w:rsidRDefault="00A82C5B" w:rsidP="00A6739B">
      <w:r>
        <w:t xml:space="preserve">Vi preghiamo di fornire il Vostro contributo </w:t>
      </w:r>
      <w:r w:rsidR="00EA111C">
        <w:t xml:space="preserve">a titolo gratuito </w:t>
      </w:r>
      <w:r>
        <w:t xml:space="preserve">- previa presa visione dell’informativa sul trattamento dei dati personali sotto riportata - compilando il presente questionario e inviandolo entro </w:t>
      </w:r>
      <w:r>
        <w:rPr>
          <w:b/>
          <w:u w:val="single"/>
        </w:rPr>
        <w:t>15 giorni solari</w:t>
      </w:r>
      <w:r>
        <w:rPr>
          <w:u w:val="single"/>
        </w:rPr>
        <w:t xml:space="preserve"> dalla data odierna</w:t>
      </w:r>
      <w:r>
        <w:rPr>
          <w:color w:val="FF0000"/>
        </w:rPr>
        <w:t xml:space="preserve"> </w:t>
      </w:r>
      <w:r>
        <w:t xml:space="preserve">all’indirizzo PEC </w:t>
      </w:r>
      <w:hyperlink r:id="rId9" w:history="1">
        <w:r>
          <w:rPr>
            <w:rStyle w:val="Collegamentoipertestuale"/>
          </w:rPr>
          <w:softHyphen/>
        </w:r>
        <w:r>
          <w:rPr>
            <w:rStyle w:val="Collegamentoipertestuale"/>
          </w:rPr>
          <w:softHyphen/>
        </w:r>
        <w:r>
          <w:rPr>
            <w:rStyle w:val="Collegamentoipertestuale"/>
          </w:rPr>
          <w:softHyphen/>
        </w:r>
        <w:hyperlink r:id="rId10" w:history="1">
          <w:r w:rsidR="00CB6158" w:rsidRPr="0062443E">
            <w:rPr>
              <w:rStyle w:val="Collegamentoipertestuale"/>
              <w:rFonts w:cstheme="minorHAnsi"/>
            </w:rPr>
            <w:t>ictconsip@postacert.consip.it</w:t>
          </w:r>
        </w:hyperlink>
      </w:hyperlink>
      <w:r w:rsidR="006A6D00">
        <w:rPr>
          <w:rStyle w:val="Collegamentoipertestuale"/>
          <w:rFonts w:cstheme="minorHAnsi"/>
        </w:rPr>
        <w:t>.</w:t>
      </w:r>
      <w:r>
        <w:rPr>
          <w:color w:val="0070C0"/>
        </w:rPr>
        <w:tab/>
      </w:r>
    </w:p>
    <w:p w14:paraId="0E310B68" w14:textId="77777777" w:rsidR="006C414B" w:rsidRPr="00A6739B" w:rsidRDefault="00A82C5B" w:rsidP="00A6739B">
      <w:r w:rsidRPr="00A6739B">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0A8F3A66" w14:textId="77777777" w:rsidR="006C414B" w:rsidRDefault="00A82C5B" w:rsidP="00A6739B">
      <w: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33C01593" w14:textId="77777777" w:rsidR="006C414B" w:rsidRDefault="00A82C5B" w:rsidP="00A6739B">
      <w:r>
        <w:t xml:space="preserve">Vi chiediamo altresì di precisare, in vista dell’eventuale accesso da parte di altri operatori economici agli esiti della presente consultazione, se la divulgazione di quanto contenuto nei Vostri contributi dovrà avvenire in forma anonima.  </w:t>
      </w:r>
    </w:p>
    <w:p w14:paraId="6B087CEB" w14:textId="77777777" w:rsidR="008B1966" w:rsidRDefault="00A82C5B" w:rsidP="00A6739B">
      <w:r>
        <w:lastRenderedPageBreak/>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3FAD3F61" w14:textId="77777777" w:rsidR="0057183C" w:rsidRPr="008B117D" w:rsidRDefault="0057183C" w:rsidP="0057183C">
      <w:pPr>
        <w:rPr>
          <w:rFonts w:ascii="Calibri" w:hAnsi="Calibri"/>
        </w:rPr>
      </w:pPr>
      <w:r w:rsidRPr="008B117D">
        <w:rPr>
          <w:rFonts w:ascii="Calibri" w:hAnsi="Calibri"/>
        </w:rPr>
        <w:t>Consip S.p.A., salvo quanto di seguito previsto in materia di trattamento dei dati personali, si impegna a non divulgare a terzi le informazioni raccolte con il presente documento.</w:t>
      </w:r>
    </w:p>
    <w:p w14:paraId="74653763" w14:textId="77777777" w:rsidR="0057183C" w:rsidRPr="0057183C" w:rsidRDefault="0057183C" w:rsidP="0057183C">
      <w:pPr>
        <w:rPr>
          <w:rFonts w:ascii="Calibri" w:hAnsi="Calibri"/>
          <w:b/>
        </w:rPr>
      </w:pPr>
      <w:r w:rsidRPr="008B117D">
        <w:rPr>
          <w:rFonts w:ascii="Calibri" w:hAnsi="Calibri"/>
          <w:b/>
        </w:rPr>
        <w:t>L’invio del documento al nostro recapito implica il consenso al trattamento dei dati forniti.</w:t>
      </w:r>
    </w:p>
    <w:p w14:paraId="6A0AD848" w14:textId="77777777" w:rsidR="006C414B" w:rsidRDefault="00A82C5B" w:rsidP="00A6739B">
      <w:r w:rsidRPr="009909CF">
        <w:br w:type="page"/>
      </w:r>
    </w:p>
    <w:p w14:paraId="3D184428" w14:textId="77777777" w:rsidR="006A6D00" w:rsidRPr="006A6D00" w:rsidRDefault="006A6D00" w:rsidP="006A6D00">
      <w:pPr>
        <w:rPr>
          <w:b/>
        </w:rPr>
      </w:pPr>
      <w:r w:rsidRPr="006A6D00">
        <w:rPr>
          <w:b/>
        </w:rPr>
        <w:lastRenderedPageBreak/>
        <w:t>Dati Azienda</w:t>
      </w:r>
    </w:p>
    <w:tbl>
      <w:tblPr>
        <w:tblW w:w="7938" w:type="dxa"/>
        <w:tblInd w:w="567"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4617"/>
      </w:tblGrid>
      <w:tr w:rsidR="006A6D00" w14:paraId="4C79EC43" w14:textId="77777777" w:rsidTr="006A6D00">
        <w:tc>
          <w:tcPr>
            <w:tcW w:w="3321" w:type="dxa"/>
            <w:vAlign w:val="center"/>
          </w:tcPr>
          <w:p w14:paraId="66FB91FD"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4617" w:type="dxa"/>
          </w:tcPr>
          <w:p w14:paraId="5C1C807C"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14:paraId="2CDA4717" w14:textId="77777777" w:rsidTr="006A6D00">
        <w:tc>
          <w:tcPr>
            <w:tcW w:w="3321" w:type="dxa"/>
            <w:vAlign w:val="center"/>
          </w:tcPr>
          <w:p w14:paraId="7C69B0A9"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4617" w:type="dxa"/>
          </w:tcPr>
          <w:p w14:paraId="7DAB39ED"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14:paraId="56CB914D" w14:textId="77777777" w:rsidTr="006A6D00">
        <w:tc>
          <w:tcPr>
            <w:tcW w:w="3321" w:type="dxa"/>
            <w:vAlign w:val="center"/>
          </w:tcPr>
          <w:p w14:paraId="4CE5F8EC"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4617" w:type="dxa"/>
          </w:tcPr>
          <w:p w14:paraId="2D8B5F16"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14:paraId="3C029018" w14:textId="77777777" w:rsidTr="006A6D00">
        <w:tc>
          <w:tcPr>
            <w:tcW w:w="3321" w:type="dxa"/>
            <w:vAlign w:val="center"/>
          </w:tcPr>
          <w:p w14:paraId="5A922DA8"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4617" w:type="dxa"/>
          </w:tcPr>
          <w:p w14:paraId="34EE7B72"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14:paraId="1A18E48D" w14:textId="77777777" w:rsidTr="006A6D00">
        <w:tc>
          <w:tcPr>
            <w:tcW w:w="3321" w:type="dxa"/>
            <w:vAlign w:val="center"/>
          </w:tcPr>
          <w:p w14:paraId="495EADBA"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4617" w:type="dxa"/>
          </w:tcPr>
          <w:p w14:paraId="503B9D93"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14:paraId="4E1C6F66" w14:textId="77777777" w:rsidTr="006A6D00">
        <w:tc>
          <w:tcPr>
            <w:tcW w:w="3321" w:type="dxa"/>
            <w:vAlign w:val="center"/>
          </w:tcPr>
          <w:p w14:paraId="4804A806"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4617" w:type="dxa"/>
          </w:tcPr>
          <w:p w14:paraId="75AECDDC"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14:paraId="06A13C91" w14:textId="77777777" w:rsidTr="006A6D00">
        <w:tc>
          <w:tcPr>
            <w:tcW w:w="3321" w:type="dxa"/>
            <w:vAlign w:val="center"/>
          </w:tcPr>
          <w:p w14:paraId="33EA8D46"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4617" w:type="dxa"/>
          </w:tcPr>
          <w:p w14:paraId="483A7B83"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14:paraId="1F46D0E5" w14:textId="77777777" w:rsidTr="006A6D00">
        <w:tc>
          <w:tcPr>
            <w:tcW w:w="3321" w:type="dxa"/>
            <w:vAlign w:val="center"/>
          </w:tcPr>
          <w:p w14:paraId="729D3055"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r w:rsidR="00974151">
              <w:rPr>
                <w:rFonts w:ascii="Calibri" w:hAnsi="Calibri" w:cs="Arial"/>
                <w:i/>
                <w:sz w:val="20"/>
                <w:szCs w:val="20"/>
              </w:rPr>
              <w:t xml:space="preserve"> del questionario</w:t>
            </w:r>
          </w:p>
        </w:tc>
        <w:tc>
          <w:tcPr>
            <w:tcW w:w="4617" w:type="dxa"/>
          </w:tcPr>
          <w:p w14:paraId="13542CC9"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7AC8ABAB" w14:textId="77777777" w:rsidR="006C414B" w:rsidRDefault="006C414B" w:rsidP="00A6739B"/>
    <w:p w14:paraId="7F6EAE16" w14:textId="77777777" w:rsidR="006C414B" w:rsidRPr="006A6D00" w:rsidRDefault="00A82C5B" w:rsidP="00A6739B">
      <w:pPr>
        <w:rPr>
          <w:b/>
        </w:rPr>
      </w:pPr>
      <w:r w:rsidRPr="006A6D00">
        <w:rPr>
          <w:b/>
        </w:rPr>
        <w:t>Informativa sul trattamento dei dati personali</w:t>
      </w:r>
    </w:p>
    <w:p w14:paraId="541982A5" w14:textId="77777777" w:rsidR="006C414B" w:rsidRDefault="00A82C5B" w:rsidP="00A6739B">
      <w:r>
        <w:t>Ai sensi dell'art. 13 del Regolamento europeo 2016/679</w:t>
      </w:r>
      <w:r>
        <w:rPr>
          <w:rFonts w:eastAsiaTheme="minorHAnsi" w:cstheme="minorBidi"/>
          <w:sz w:val="22"/>
          <w:szCs w:val="22"/>
          <w:lang w:eastAsia="en-US"/>
        </w:rPr>
        <w:t xml:space="preserve"> </w:t>
      </w:r>
      <w:r>
        <w:t xml:space="preserve">relativo alla protezione delle persone fisiche con riguardo al trattamento dei dati personali (nel seguito anche </w:t>
      </w:r>
      <w:r>
        <w:rPr>
          <w:i/>
        </w:rPr>
        <w:t>“Regolamento UE”</w:t>
      </w:r>
      <w: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71B5C922" w14:textId="77777777" w:rsidR="006C414B" w:rsidRDefault="00A82C5B" w:rsidP="00A6739B">
      <w: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65F20B58" w14:textId="77777777" w:rsidR="006C414B" w:rsidRDefault="00A82C5B" w:rsidP="00A6739B">
      <w:r>
        <w:t>Il conferimento di Dati alla Consip S.p.A. è facoltativo; l'eventuale rifiuto di fornire gli stessi comporta l'impossibilità di acquisire da parte nostra, le informazioni per una più compiuta conoscenza del mercato relativamente alla Vostra azienda.</w:t>
      </w:r>
    </w:p>
    <w:p w14:paraId="11AA21B0" w14:textId="77777777" w:rsidR="006C414B" w:rsidRDefault="00A82C5B" w:rsidP="00A6739B">
      <w:r>
        <w:t>I Dati saranno conservati in archivi informatici e cartacei per un periodo di tempo non superiore a quello necessario agli scopi per i quali sono stati raccolti o successivamente trattati, conformemente a quanto previsto dagli obblighi di legge.</w:t>
      </w:r>
    </w:p>
    <w:p w14:paraId="46DB13EF" w14:textId="77777777" w:rsidR="006C414B" w:rsidRDefault="00A82C5B" w:rsidP="00A6739B">
      <w:pPr>
        <w:rPr>
          <w:u w:val="single"/>
        </w:rPr>
      </w:pPr>
      <w: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i/>
        </w:rPr>
        <w:t>iii)</w:t>
      </w:r>
      <w:r>
        <w:t xml:space="preserve"> il diritto di chiedere, e nel caso </w:t>
      </w:r>
      <w:r>
        <w:lastRenderedPageBreak/>
        <w:t xml:space="preserve">ottenere, la rettifica e, ove possibile, la cancellazione o, ancora, la limitazione del trattamento e, infine, può opporsi, per motivi legittimi, al loro trattamento; </w:t>
      </w:r>
      <w:r>
        <w:rPr>
          <w:i/>
        </w:rPr>
        <w:t>iv)</w:t>
      </w:r>
      <w:r>
        <w:t xml:space="preserve"> il diritto alla portabilità dei dati che sarà applicabile nei limiti di cui all’art. 20 del regolamento UE. </w:t>
      </w:r>
    </w:p>
    <w:p w14:paraId="5D989E1A" w14:textId="77777777" w:rsidR="006C414B" w:rsidRDefault="00A82C5B" w:rsidP="00A6739B">
      <w: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2F622F6" w14:textId="77777777" w:rsidR="006C414B" w:rsidRDefault="00A82C5B" w:rsidP="00A6739B">
      <w:r>
        <w:t>L’invio a Consip S.p.A. del Documento di Consultazione del mercato implica il consenso al trattamento dei Dati personali forniti.</w:t>
      </w:r>
    </w:p>
    <w:p w14:paraId="77A81733" w14:textId="77777777" w:rsidR="006C414B" w:rsidRDefault="00A82C5B" w:rsidP="00A6739B">
      <w: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1" w:history="1">
        <w:r>
          <w:rPr>
            <w:rStyle w:val="Collegamentoipertestuale"/>
          </w:rPr>
          <w:t>esercizio.diritti.privacy@consip.it</w:t>
        </w:r>
      </w:hyperlink>
      <w:r>
        <w:t>.</w:t>
      </w:r>
    </w:p>
    <w:p w14:paraId="068EE595" w14:textId="77777777" w:rsidR="006C414B" w:rsidRDefault="00A82C5B" w:rsidP="00A6739B">
      <w:r>
        <w:br w:type="page"/>
      </w:r>
    </w:p>
    <w:p w14:paraId="330A47E4" w14:textId="77777777" w:rsidR="006C414B" w:rsidRPr="00A6739B" w:rsidRDefault="00A82C5B" w:rsidP="00A6739B">
      <w:pPr>
        <w:pStyle w:val="Titolo1"/>
        <w:rPr>
          <w:sz w:val="18"/>
          <w:lang w:val="en-US"/>
        </w:rPr>
      </w:pPr>
      <w:r w:rsidRPr="00A6739B">
        <w:rPr>
          <w:sz w:val="18"/>
          <w:lang w:val="en-US"/>
        </w:rPr>
        <w:lastRenderedPageBreak/>
        <w:t xml:space="preserve">Breve descrizione dell’iniziativa </w:t>
      </w:r>
    </w:p>
    <w:p w14:paraId="2C74C999" w14:textId="77777777" w:rsidR="00CD6968" w:rsidRPr="001B5327" w:rsidRDefault="00CD6968" w:rsidP="00CD6968">
      <w:pPr>
        <w:rPr>
          <w:i/>
          <w:u w:val="single"/>
        </w:rPr>
      </w:pPr>
      <w:r w:rsidRPr="001B5327">
        <w:rPr>
          <w:b/>
        </w:rPr>
        <w:t>Contesto tecnico-organizzativo</w:t>
      </w:r>
    </w:p>
    <w:p w14:paraId="1766CF45" w14:textId="77777777" w:rsidR="00CD6968" w:rsidRPr="001D5F4C" w:rsidRDefault="00CD6968" w:rsidP="004542A1">
      <w:pPr>
        <w:pStyle w:val="Default"/>
        <w:spacing w:line="360" w:lineRule="auto"/>
        <w:ind w:left="284"/>
        <w:jc w:val="both"/>
        <w:rPr>
          <w:rFonts w:asciiTheme="minorHAnsi" w:hAnsiTheme="minorHAnsi"/>
          <w:sz w:val="20"/>
          <w:szCs w:val="20"/>
        </w:rPr>
      </w:pPr>
      <w:r w:rsidRPr="001D5F4C">
        <w:rPr>
          <w:rFonts w:asciiTheme="minorHAnsi" w:hAnsiTheme="minorHAnsi"/>
          <w:sz w:val="20"/>
          <w:szCs w:val="20"/>
        </w:rPr>
        <w:t xml:space="preserve">La </w:t>
      </w:r>
      <w:r w:rsidR="00821213" w:rsidRPr="00821213">
        <w:rPr>
          <w:rFonts w:asciiTheme="minorHAnsi" w:hAnsiTheme="minorHAnsi"/>
          <w:sz w:val="20"/>
          <w:szCs w:val="20"/>
        </w:rPr>
        <w:t>Direzione Centrale Organizzazione Digitale di Inail</w:t>
      </w:r>
      <w:r w:rsidRPr="001D5F4C">
        <w:rPr>
          <w:rFonts w:asciiTheme="minorHAnsi" w:hAnsiTheme="minorHAnsi"/>
          <w:sz w:val="20"/>
          <w:szCs w:val="20"/>
        </w:rPr>
        <w:t>, negli ultimi anni, ha intrapreso un complesso percorso di trasformazione per adeguare il proprio modello operativo al raggiungimento di importanti obiettivi, tra i quali:</w:t>
      </w:r>
    </w:p>
    <w:p w14:paraId="5E2A57FE" w14:textId="77777777" w:rsidR="00CD6968" w:rsidRPr="001D5F4C" w:rsidRDefault="00CD6968" w:rsidP="00CD6968">
      <w:pPr>
        <w:pStyle w:val="Default"/>
        <w:numPr>
          <w:ilvl w:val="0"/>
          <w:numId w:val="23"/>
        </w:numPr>
        <w:spacing w:line="360" w:lineRule="auto"/>
        <w:jc w:val="both"/>
        <w:rPr>
          <w:rFonts w:asciiTheme="minorHAnsi" w:hAnsiTheme="minorHAnsi"/>
          <w:sz w:val="20"/>
          <w:szCs w:val="20"/>
        </w:rPr>
      </w:pPr>
      <w:r>
        <w:rPr>
          <w:rFonts w:asciiTheme="minorHAnsi" w:hAnsiTheme="minorHAnsi"/>
          <w:sz w:val="20"/>
          <w:szCs w:val="20"/>
        </w:rPr>
        <w:t>i</w:t>
      </w:r>
      <w:r w:rsidRPr="001D5F4C">
        <w:rPr>
          <w:rFonts w:asciiTheme="minorHAnsi" w:hAnsiTheme="minorHAnsi"/>
          <w:sz w:val="20"/>
          <w:szCs w:val="20"/>
        </w:rPr>
        <w:t>ncremento delle capacità di risposta ed indirizzo alle esigenze del Business;</w:t>
      </w:r>
    </w:p>
    <w:p w14:paraId="197E8185" w14:textId="77777777" w:rsidR="00CD6968" w:rsidRPr="001D5F4C" w:rsidRDefault="00CD6968" w:rsidP="00CD6968">
      <w:pPr>
        <w:pStyle w:val="Default"/>
        <w:numPr>
          <w:ilvl w:val="0"/>
          <w:numId w:val="23"/>
        </w:numPr>
        <w:spacing w:line="360" w:lineRule="auto"/>
        <w:jc w:val="both"/>
        <w:rPr>
          <w:rFonts w:asciiTheme="minorHAnsi" w:hAnsiTheme="minorHAnsi"/>
          <w:sz w:val="20"/>
          <w:szCs w:val="20"/>
        </w:rPr>
      </w:pPr>
      <w:r>
        <w:rPr>
          <w:rFonts w:asciiTheme="minorHAnsi" w:hAnsiTheme="minorHAnsi"/>
          <w:sz w:val="20"/>
          <w:szCs w:val="20"/>
        </w:rPr>
        <w:t>i</w:t>
      </w:r>
      <w:r w:rsidRPr="001D5F4C">
        <w:rPr>
          <w:rFonts w:asciiTheme="minorHAnsi" w:hAnsiTheme="minorHAnsi"/>
          <w:sz w:val="20"/>
          <w:szCs w:val="20"/>
        </w:rPr>
        <w:t>ncremento delle capacità di governo sulle attività progettuali.</w:t>
      </w:r>
    </w:p>
    <w:p w14:paraId="253B816B" w14:textId="77777777" w:rsidR="00CD6968" w:rsidRPr="001D5F4C" w:rsidRDefault="00CD6968" w:rsidP="004542A1">
      <w:pPr>
        <w:pStyle w:val="Default"/>
        <w:spacing w:line="360" w:lineRule="auto"/>
        <w:ind w:left="284"/>
        <w:jc w:val="both"/>
        <w:rPr>
          <w:rFonts w:asciiTheme="minorHAnsi" w:hAnsiTheme="minorHAnsi"/>
          <w:sz w:val="20"/>
          <w:szCs w:val="20"/>
        </w:rPr>
      </w:pPr>
      <w:r w:rsidRPr="001D5F4C">
        <w:rPr>
          <w:rFonts w:asciiTheme="minorHAnsi" w:hAnsiTheme="minorHAnsi"/>
          <w:sz w:val="20"/>
          <w:szCs w:val="20"/>
        </w:rPr>
        <w:t>Uno degli interventi strategici di tale percorso è rappresentato dalla creazione di una Service Control Room (SCR), in grado di integrare l’attuale gestione reattiva degli incidenti con un modello operativo orientato alla gestione proattiva e predittiva degli eventi impattanti sulla disponibilità e performance dei servizi erogati. A tal fine, la struttura organizzativa della DCOD ha costituito un’area, con un team di risorse dedicato alle attività di Service Control Room, focalizzate sulla gestione proattiva degli incidenti con l’obiettivo di monitorare i servizi critici erogati in ottica “end to end”, integrando in un’unica vista di servizio tutte le componenti (infrastrutturali e non) interne ed esterne (componenti IAAS, PAAS e SAAS) che concorrono all’e</w:t>
      </w:r>
      <w:r w:rsidR="00620F42">
        <w:rPr>
          <w:rFonts w:asciiTheme="minorHAnsi" w:hAnsiTheme="minorHAnsi"/>
          <w:sz w:val="20"/>
          <w:szCs w:val="20"/>
        </w:rPr>
        <w:t>rogazione degli stessi.</w:t>
      </w:r>
    </w:p>
    <w:p w14:paraId="76E09EE3" w14:textId="77777777" w:rsidR="00CD6968" w:rsidRPr="001D5F4C" w:rsidRDefault="00CD6968" w:rsidP="004542A1">
      <w:pPr>
        <w:pStyle w:val="Default"/>
        <w:spacing w:line="360" w:lineRule="auto"/>
        <w:ind w:left="284"/>
        <w:jc w:val="both"/>
        <w:rPr>
          <w:rFonts w:asciiTheme="minorHAnsi" w:hAnsiTheme="minorHAnsi"/>
          <w:sz w:val="20"/>
          <w:szCs w:val="20"/>
        </w:rPr>
      </w:pPr>
      <w:r w:rsidRPr="001D5F4C">
        <w:rPr>
          <w:rFonts w:asciiTheme="minorHAnsi" w:hAnsiTheme="minorHAnsi"/>
          <w:sz w:val="20"/>
          <w:szCs w:val="20"/>
        </w:rPr>
        <w:t>In termini organizzativi, la soluzione di Service Control Room prevede:</w:t>
      </w:r>
    </w:p>
    <w:p w14:paraId="223C7370" w14:textId="77777777" w:rsidR="00CD6968" w:rsidRPr="001D5F4C" w:rsidRDefault="00CD6968" w:rsidP="004542A1">
      <w:pPr>
        <w:pStyle w:val="Default"/>
        <w:numPr>
          <w:ilvl w:val="0"/>
          <w:numId w:val="24"/>
        </w:numPr>
        <w:spacing w:line="360" w:lineRule="auto"/>
        <w:ind w:left="993"/>
        <w:jc w:val="both"/>
        <w:rPr>
          <w:rFonts w:asciiTheme="minorHAnsi" w:hAnsiTheme="minorHAnsi"/>
          <w:sz w:val="20"/>
          <w:szCs w:val="20"/>
        </w:rPr>
      </w:pPr>
      <w:r>
        <w:rPr>
          <w:rFonts w:asciiTheme="minorHAnsi" w:hAnsiTheme="minorHAnsi"/>
          <w:sz w:val="20"/>
          <w:szCs w:val="20"/>
        </w:rPr>
        <w:t>t</w:t>
      </w:r>
      <w:r w:rsidR="00620F42">
        <w:rPr>
          <w:rFonts w:asciiTheme="minorHAnsi" w:hAnsiTheme="minorHAnsi"/>
          <w:sz w:val="20"/>
          <w:szCs w:val="20"/>
        </w:rPr>
        <w:t>eam di operatori in modalità H</w:t>
      </w:r>
      <w:r w:rsidRPr="001D5F4C">
        <w:rPr>
          <w:rFonts w:asciiTheme="minorHAnsi" w:hAnsiTheme="minorHAnsi"/>
          <w:sz w:val="20"/>
          <w:szCs w:val="20"/>
        </w:rPr>
        <w:t>24 7/7 dedicati al monitoraggio dello stato di salute dei servizi, apertura ed indirizzamento di ticket verso i gruppi operativi applicativi o infrastrutturali che prendono in carico la gestione della risoluzione dell’anomalia potenziale o reale rilevata;</w:t>
      </w:r>
    </w:p>
    <w:p w14:paraId="042544AA" w14:textId="77777777" w:rsidR="00CD6968" w:rsidRPr="001D5F4C" w:rsidRDefault="00CD6968" w:rsidP="004542A1">
      <w:pPr>
        <w:pStyle w:val="Default"/>
        <w:numPr>
          <w:ilvl w:val="0"/>
          <w:numId w:val="24"/>
        </w:numPr>
        <w:spacing w:line="360" w:lineRule="auto"/>
        <w:ind w:left="993"/>
        <w:jc w:val="both"/>
        <w:rPr>
          <w:rFonts w:asciiTheme="minorHAnsi" w:hAnsiTheme="minorHAnsi"/>
          <w:sz w:val="20"/>
          <w:szCs w:val="20"/>
        </w:rPr>
      </w:pPr>
      <w:r>
        <w:rPr>
          <w:rFonts w:asciiTheme="minorHAnsi" w:hAnsiTheme="minorHAnsi"/>
          <w:sz w:val="20"/>
          <w:szCs w:val="20"/>
        </w:rPr>
        <w:t>t</w:t>
      </w:r>
      <w:r w:rsidRPr="001D5F4C">
        <w:rPr>
          <w:rFonts w:asciiTheme="minorHAnsi" w:hAnsiTheme="minorHAnsi"/>
          <w:sz w:val="20"/>
          <w:szCs w:val="20"/>
        </w:rPr>
        <w:t>eam di sistemisti che operano in orario standard da lunedì a venerdì dalle 8 alle 18 dedicati all’implementazione e manutenzione di nuovi modelli di servizio sugli strumenti di monitoraggio.</w:t>
      </w:r>
    </w:p>
    <w:p w14:paraId="24C7F158" w14:textId="77777777" w:rsidR="00CD6968" w:rsidRPr="001D5F4C" w:rsidRDefault="00CD6968" w:rsidP="004542A1">
      <w:pPr>
        <w:pStyle w:val="Default"/>
        <w:spacing w:line="360" w:lineRule="auto"/>
        <w:ind w:left="284"/>
        <w:jc w:val="both"/>
        <w:rPr>
          <w:rFonts w:asciiTheme="minorHAnsi" w:hAnsiTheme="minorHAnsi"/>
          <w:sz w:val="20"/>
          <w:szCs w:val="20"/>
        </w:rPr>
      </w:pPr>
      <w:r w:rsidRPr="001D5F4C">
        <w:rPr>
          <w:rFonts w:asciiTheme="minorHAnsi" w:hAnsiTheme="minorHAnsi"/>
          <w:sz w:val="20"/>
          <w:szCs w:val="20"/>
        </w:rPr>
        <w:t>Oltre ad operatori e sistemisti, la Service Control Room utilizza inoltre risorse professionali che forniscono servizi di supporto specialistico finalizzati alle seguenti attività:</w:t>
      </w:r>
    </w:p>
    <w:p w14:paraId="258290AA" w14:textId="77777777" w:rsidR="00CD6968" w:rsidRPr="001D5F4C" w:rsidRDefault="00CD6968" w:rsidP="004542A1">
      <w:pPr>
        <w:pStyle w:val="Default"/>
        <w:numPr>
          <w:ilvl w:val="0"/>
          <w:numId w:val="25"/>
        </w:numPr>
        <w:spacing w:line="360" w:lineRule="auto"/>
        <w:ind w:left="993"/>
        <w:jc w:val="both"/>
        <w:rPr>
          <w:rFonts w:asciiTheme="minorHAnsi" w:hAnsiTheme="minorHAnsi"/>
          <w:sz w:val="20"/>
          <w:szCs w:val="20"/>
        </w:rPr>
      </w:pPr>
      <w:r>
        <w:rPr>
          <w:rFonts w:asciiTheme="minorHAnsi" w:hAnsiTheme="minorHAnsi"/>
          <w:sz w:val="20"/>
          <w:szCs w:val="20"/>
        </w:rPr>
        <w:t>s</w:t>
      </w:r>
      <w:r w:rsidRPr="001D5F4C">
        <w:rPr>
          <w:rFonts w:asciiTheme="minorHAnsi" w:hAnsiTheme="minorHAnsi"/>
          <w:sz w:val="20"/>
          <w:szCs w:val="20"/>
        </w:rPr>
        <w:t>upporto alla gestione ed indirizzo inter-organizzativo di Major Incident e Problem</w:t>
      </w:r>
      <w:r>
        <w:rPr>
          <w:rFonts w:asciiTheme="minorHAnsi" w:hAnsiTheme="minorHAnsi"/>
          <w:sz w:val="20"/>
          <w:szCs w:val="20"/>
        </w:rPr>
        <w:t>;</w:t>
      </w:r>
    </w:p>
    <w:p w14:paraId="1CF49F7A" w14:textId="77777777" w:rsidR="00CD6968" w:rsidRPr="001D5F4C" w:rsidRDefault="00CD6968" w:rsidP="004542A1">
      <w:pPr>
        <w:pStyle w:val="Default"/>
        <w:numPr>
          <w:ilvl w:val="0"/>
          <w:numId w:val="25"/>
        </w:numPr>
        <w:spacing w:line="360" w:lineRule="auto"/>
        <w:ind w:left="993"/>
        <w:jc w:val="both"/>
        <w:rPr>
          <w:rFonts w:asciiTheme="minorHAnsi" w:hAnsiTheme="minorHAnsi"/>
          <w:sz w:val="20"/>
          <w:szCs w:val="20"/>
        </w:rPr>
      </w:pPr>
      <w:r>
        <w:rPr>
          <w:rFonts w:asciiTheme="minorHAnsi" w:hAnsiTheme="minorHAnsi"/>
          <w:sz w:val="20"/>
          <w:szCs w:val="20"/>
        </w:rPr>
        <w:t>s</w:t>
      </w:r>
      <w:r w:rsidRPr="001D5F4C">
        <w:rPr>
          <w:rFonts w:asciiTheme="minorHAnsi" w:hAnsiTheme="minorHAnsi"/>
          <w:sz w:val="20"/>
          <w:szCs w:val="20"/>
        </w:rPr>
        <w:t>upporto alla predisposizione di reportistica operativa sull’andamento dei servizi IT e di Business</w:t>
      </w:r>
      <w:r>
        <w:rPr>
          <w:rFonts w:asciiTheme="minorHAnsi" w:hAnsiTheme="minorHAnsi"/>
          <w:sz w:val="20"/>
          <w:szCs w:val="20"/>
        </w:rPr>
        <w:t>;</w:t>
      </w:r>
    </w:p>
    <w:p w14:paraId="6F96DD5D" w14:textId="77777777" w:rsidR="00CD6968" w:rsidRPr="001D5F4C" w:rsidRDefault="00CD6968" w:rsidP="004542A1">
      <w:pPr>
        <w:pStyle w:val="Default"/>
        <w:numPr>
          <w:ilvl w:val="0"/>
          <w:numId w:val="25"/>
        </w:numPr>
        <w:spacing w:line="360" w:lineRule="auto"/>
        <w:ind w:left="993"/>
        <w:jc w:val="both"/>
        <w:rPr>
          <w:rFonts w:asciiTheme="minorHAnsi" w:hAnsiTheme="minorHAnsi"/>
          <w:sz w:val="20"/>
          <w:szCs w:val="20"/>
        </w:rPr>
      </w:pPr>
      <w:r>
        <w:rPr>
          <w:rFonts w:asciiTheme="minorHAnsi" w:hAnsiTheme="minorHAnsi"/>
          <w:sz w:val="20"/>
          <w:szCs w:val="20"/>
        </w:rPr>
        <w:t>c</w:t>
      </w:r>
      <w:r w:rsidRPr="001D5F4C">
        <w:rPr>
          <w:rFonts w:asciiTheme="minorHAnsi" w:hAnsiTheme="minorHAnsi"/>
          <w:sz w:val="20"/>
          <w:szCs w:val="20"/>
        </w:rPr>
        <w:t>onfigurazione e mantenimento di una soluzione di SLA management a supporto del calcolo dei KPI tecnologici</w:t>
      </w:r>
      <w:r>
        <w:rPr>
          <w:rFonts w:asciiTheme="minorHAnsi" w:hAnsiTheme="minorHAnsi"/>
          <w:sz w:val="20"/>
          <w:szCs w:val="20"/>
        </w:rPr>
        <w:t>;</w:t>
      </w:r>
    </w:p>
    <w:p w14:paraId="09B73505" w14:textId="77777777" w:rsidR="00CD6968" w:rsidRDefault="00CD6968" w:rsidP="004542A1">
      <w:pPr>
        <w:pStyle w:val="Default"/>
        <w:numPr>
          <w:ilvl w:val="0"/>
          <w:numId w:val="25"/>
        </w:numPr>
        <w:spacing w:line="360" w:lineRule="auto"/>
        <w:ind w:left="993"/>
        <w:jc w:val="both"/>
        <w:rPr>
          <w:rFonts w:asciiTheme="minorHAnsi" w:hAnsiTheme="minorHAnsi"/>
          <w:sz w:val="20"/>
          <w:szCs w:val="20"/>
        </w:rPr>
      </w:pPr>
      <w:r>
        <w:rPr>
          <w:rFonts w:asciiTheme="minorHAnsi" w:hAnsiTheme="minorHAnsi"/>
          <w:sz w:val="20"/>
          <w:szCs w:val="20"/>
        </w:rPr>
        <w:t>s</w:t>
      </w:r>
      <w:r w:rsidRPr="001D5F4C">
        <w:rPr>
          <w:rFonts w:asciiTheme="minorHAnsi" w:hAnsiTheme="minorHAnsi"/>
          <w:sz w:val="20"/>
          <w:szCs w:val="20"/>
        </w:rPr>
        <w:t>upporto continuativo alla definizione e revisione delle procedure/istruzioni operative a supporto dell’operatività della Service Control Room.</w:t>
      </w:r>
    </w:p>
    <w:p w14:paraId="5479BA96" w14:textId="77777777" w:rsidR="00332537" w:rsidRPr="00751243" w:rsidRDefault="00332537" w:rsidP="004542A1">
      <w:pPr>
        <w:pStyle w:val="Default"/>
        <w:spacing w:line="360" w:lineRule="auto"/>
        <w:ind w:left="284"/>
        <w:jc w:val="both"/>
        <w:rPr>
          <w:rFonts w:asciiTheme="minorHAnsi" w:hAnsiTheme="minorHAnsi"/>
          <w:sz w:val="20"/>
        </w:rPr>
      </w:pPr>
      <w:r w:rsidRPr="00751243">
        <w:rPr>
          <w:rFonts w:asciiTheme="minorHAnsi" w:hAnsiTheme="minorHAnsi"/>
          <w:sz w:val="20"/>
        </w:rPr>
        <w:t xml:space="preserve">Le soluzioni tecnologiche che saranno messe a disposizione dalla Committente per l’esecuzione delle prestazioni </w:t>
      </w:r>
      <w:r w:rsidR="00312C9F" w:rsidRPr="00751243">
        <w:rPr>
          <w:rFonts w:asciiTheme="minorHAnsi" w:hAnsiTheme="minorHAnsi"/>
          <w:sz w:val="20"/>
        </w:rPr>
        <w:t xml:space="preserve">della Service Control Room </w:t>
      </w:r>
      <w:r w:rsidR="00620F42" w:rsidRPr="00751243">
        <w:rPr>
          <w:rFonts w:asciiTheme="minorHAnsi" w:hAnsiTheme="minorHAnsi"/>
          <w:sz w:val="20"/>
        </w:rPr>
        <w:t>saranno</w:t>
      </w:r>
      <w:r w:rsidRPr="00751243">
        <w:rPr>
          <w:rFonts w:asciiTheme="minorHAnsi" w:hAnsiTheme="minorHAnsi"/>
          <w:sz w:val="20"/>
        </w:rPr>
        <w:t xml:space="preserve"> le seguenti:</w:t>
      </w:r>
    </w:p>
    <w:p w14:paraId="5CF7E80E" w14:textId="77777777" w:rsidR="00175977" w:rsidRPr="00751243" w:rsidRDefault="00332537" w:rsidP="00751243">
      <w:pPr>
        <w:pStyle w:val="Default"/>
        <w:numPr>
          <w:ilvl w:val="1"/>
          <w:numId w:val="37"/>
        </w:numPr>
        <w:spacing w:line="360" w:lineRule="auto"/>
        <w:ind w:left="993"/>
        <w:jc w:val="both"/>
        <w:rPr>
          <w:rFonts w:asciiTheme="minorHAnsi" w:hAnsiTheme="minorHAnsi"/>
          <w:sz w:val="20"/>
        </w:rPr>
      </w:pPr>
      <w:r w:rsidRPr="00751243">
        <w:rPr>
          <w:rFonts w:asciiTheme="minorHAnsi" w:hAnsiTheme="minorHAnsi"/>
          <w:b/>
          <w:sz w:val="20"/>
        </w:rPr>
        <w:lastRenderedPageBreak/>
        <w:t>ServiceNow</w:t>
      </w:r>
      <w:r w:rsidR="00175977" w:rsidRPr="00751243">
        <w:rPr>
          <w:rFonts w:asciiTheme="minorHAnsi" w:hAnsiTheme="minorHAnsi"/>
          <w:b/>
          <w:sz w:val="20"/>
        </w:rPr>
        <w:t xml:space="preserve"> ITOM</w:t>
      </w:r>
      <w:r w:rsidR="00175977" w:rsidRPr="00751243">
        <w:rPr>
          <w:rFonts w:asciiTheme="minorHAnsi" w:hAnsiTheme="minorHAnsi"/>
          <w:sz w:val="20"/>
        </w:rPr>
        <w:t>: soluzione di Service Monitoring che</w:t>
      </w:r>
      <w:r w:rsidR="00375EAB" w:rsidRPr="00751243">
        <w:rPr>
          <w:rFonts w:asciiTheme="minorHAnsi" w:hAnsiTheme="minorHAnsi"/>
          <w:sz w:val="20"/>
        </w:rPr>
        <w:t>,</w:t>
      </w:r>
      <w:r w:rsidR="00175977" w:rsidRPr="00751243">
        <w:rPr>
          <w:rFonts w:asciiTheme="minorHAnsi" w:hAnsiTheme="minorHAnsi"/>
          <w:sz w:val="20"/>
        </w:rPr>
        <w:t xml:space="preserve"> integrata nativamente con il modulo del CMDB per la propagazione degli eventi e con il modulo di ITSM per la gestione delle segnalazioni, consente la modellazione del servizio e la gestione e </w:t>
      </w:r>
      <w:r w:rsidR="006955D1" w:rsidRPr="004C5A9E">
        <w:rPr>
          <w:rFonts w:asciiTheme="minorHAnsi" w:hAnsiTheme="minorHAnsi"/>
          <w:sz w:val="20"/>
          <w:szCs w:val="20"/>
        </w:rPr>
        <w:t xml:space="preserve">la </w:t>
      </w:r>
      <w:r w:rsidR="00175977" w:rsidRPr="00751243">
        <w:rPr>
          <w:rFonts w:asciiTheme="minorHAnsi" w:hAnsiTheme="minorHAnsi"/>
          <w:sz w:val="20"/>
        </w:rPr>
        <w:t>correlazione automatica degli eventi attraverso una vista unica e centralizzata sullo stato di salute dei servizi digitali</w:t>
      </w:r>
      <w:r w:rsidR="004C5A9E">
        <w:rPr>
          <w:rFonts w:asciiTheme="minorHAnsi" w:hAnsiTheme="minorHAnsi"/>
          <w:sz w:val="20"/>
          <w:szCs w:val="20"/>
        </w:rPr>
        <w:t>;</w:t>
      </w:r>
    </w:p>
    <w:p w14:paraId="2D8E3994" w14:textId="77777777" w:rsidR="00332537" w:rsidRPr="00751243" w:rsidRDefault="00CF4631" w:rsidP="00367DA2">
      <w:pPr>
        <w:pStyle w:val="Default"/>
        <w:numPr>
          <w:ilvl w:val="1"/>
          <w:numId w:val="37"/>
        </w:numPr>
        <w:spacing w:line="360" w:lineRule="auto"/>
        <w:ind w:left="993"/>
        <w:jc w:val="both"/>
        <w:rPr>
          <w:rFonts w:asciiTheme="minorHAnsi" w:hAnsiTheme="minorHAnsi"/>
          <w:sz w:val="20"/>
        </w:rPr>
      </w:pPr>
      <w:r w:rsidRPr="00751243">
        <w:rPr>
          <w:rFonts w:asciiTheme="minorHAnsi" w:hAnsiTheme="minorHAnsi"/>
          <w:b/>
          <w:sz w:val="20"/>
        </w:rPr>
        <w:t>Dynatrace Platform Subscription</w:t>
      </w:r>
      <w:r w:rsidR="00332537" w:rsidRPr="00751243">
        <w:rPr>
          <w:rFonts w:asciiTheme="minorHAnsi" w:hAnsiTheme="minorHAnsi"/>
          <w:sz w:val="20"/>
        </w:rPr>
        <w:t xml:space="preserve">: soluzione </w:t>
      </w:r>
      <w:r w:rsidRPr="00751243">
        <w:rPr>
          <w:rFonts w:asciiTheme="minorHAnsi" w:hAnsiTheme="minorHAnsi"/>
          <w:sz w:val="20"/>
        </w:rPr>
        <w:t xml:space="preserve">per il monitoraggio in ottica end to end dei servizi di business che INAIL eroga nei confronti dei propri utenti finali. La soluzione è resa in modalità cloud, attraverso l’attivazione di specifiche sottoscrizioni, </w:t>
      </w:r>
      <w:r w:rsidR="006F091D" w:rsidRPr="00751243">
        <w:rPr>
          <w:rFonts w:asciiTheme="minorHAnsi" w:hAnsiTheme="minorHAnsi"/>
          <w:sz w:val="20"/>
        </w:rPr>
        <w:t>permettendo</w:t>
      </w:r>
      <w:r w:rsidRPr="00751243">
        <w:rPr>
          <w:rFonts w:asciiTheme="minorHAnsi" w:hAnsiTheme="minorHAnsi"/>
          <w:sz w:val="20"/>
        </w:rPr>
        <w:t xml:space="preserve"> sia il monitoraggio per componente tecnologica sia il monitoraggio per servizio;</w:t>
      </w:r>
    </w:p>
    <w:p w14:paraId="4443AA19" w14:textId="77777777" w:rsidR="00332537" w:rsidRPr="00751243" w:rsidRDefault="00332537" w:rsidP="004542A1">
      <w:pPr>
        <w:pStyle w:val="Default"/>
        <w:numPr>
          <w:ilvl w:val="1"/>
          <w:numId w:val="37"/>
        </w:numPr>
        <w:spacing w:line="360" w:lineRule="auto"/>
        <w:ind w:left="993"/>
        <w:rPr>
          <w:rFonts w:asciiTheme="minorHAnsi" w:hAnsiTheme="minorHAnsi"/>
          <w:sz w:val="20"/>
        </w:rPr>
      </w:pPr>
      <w:r w:rsidRPr="00751243">
        <w:rPr>
          <w:rFonts w:asciiTheme="minorHAnsi" w:hAnsiTheme="minorHAnsi"/>
          <w:b/>
          <w:sz w:val="20"/>
        </w:rPr>
        <w:t>Nagios XI</w:t>
      </w:r>
      <w:r w:rsidRPr="00751243">
        <w:rPr>
          <w:rFonts w:asciiTheme="minorHAnsi" w:hAnsiTheme="minorHAnsi"/>
          <w:sz w:val="20"/>
        </w:rPr>
        <w:t xml:space="preserve">: soluzione verticale di IT Monitoring che consente il monitoraggio </w:t>
      </w:r>
      <w:r w:rsidR="00CF4631" w:rsidRPr="00751243">
        <w:rPr>
          <w:rFonts w:asciiTheme="minorHAnsi" w:hAnsiTheme="minorHAnsi"/>
          <w:sz w:val="20"/>
        </w:rPr>
        <w:t>infrastrutturale</w:t>
      </w:r>
      <w:r w:rsidRPr="00751243">
        <w:rPr>
          <w:rFonts w:asciiTheme="minorHAnsi" w:hAnsiTheme="minorHAnsi"/>
          <w:sz w:val="20"/>
        </w:rPr>
        <w:t xml:space="preserve"> delle componenti database e d</w:t>
      </w:r>
      <w:r w:rsidR="00620F42" w:rsidRPr="00751243">
        <w:rPr>
          <w:rFonts w:asciiTheme="minorHAnsi" w:hAnsiTheme="minorHAnsi"/>
          <w:sz w:val="20"/>
        </w:rPr>
        <w:t>el servizio di rete</w:t>
      </w:r>
      <w:r w:rsidRPr="00751243">
        <w:rPr>
          <w:rFonts w:asciiTheme="minorHAnsi" w:hAnsiTheme="minorHAnsi"/>
          <w:sz w:val="20"/>
        </w:rPr>
        <w:t xml:space="preserve">; </w:t>
      </w:r>
    </w:p>
    <w:p w14:paraId="72E157EC" w14:textId="77777777" w:rsidR="00332537" w:rsidRPr="00751243" w:rsidRDefault="00332537" w:rsidP="004542A1">
      <w:pPr>
        <w:pStyle w:val="Default"/>
        <w:numPr>
          <w:ilvl w:val="1"/>
          <w:numId w:val="37"/>
        </w:numPr>
        <w:spacing w:line="360" w:lineRule="auto"/>
        <w:ind w:left="993"/>
        <w:jc w:val="both"/>
        <w:rPr>
          <w:rFonts w:asciiTheme="minorHAnsi" w:hAnsiTheme="minorHAnsi"/>
          <w:sz w:val="20"/>
        </w:rPr>
      </w:pPr>
      <w:r w:rsidRPr="00751243">
        <w:rPr>
          <w:rFonts w:asciiTheme="minorHAnsi" w:hAnsiTheme="minorHAnsi"/>
          <w:b/>
          <w:sz w:val="20"/>
        </w:rPr>
        <w:t>Pentaho Enterprise Edition</w:t>
      </w:r>
      <w:r w:rsidRPr="00751243">
        <w:rPr>
          <w:rFonts w:asciiTheme="minorHAnsi" w:hAnsiTheme="minorHAnsi"/>
          <w:sz w:val="20"/>
        </w:rPr>
        <w:t>: soluzione integrata utilizzata in ambito SLA Management per la misurazione e verifica dei livelli di servizio sui contratti oggetto di monitoraggio.</w:t>
      </w:r>
    </w:p>
    <w:p w14:paraId="49F6E694" w14:textId="77777777" w:rsidR="006F091D" w:rsidRPr="004542A1" w:rsidRDefault="004542A1" w:rsidP="004542A1">
      <w:r w:rsidRPr="00751243">
        <w:t xml:space="preserve">Le soluzioni tecnologiche sopra descritte sono attualmente oggetto di specifiche iniziative di gara sopra e sotto soglia comunitaria che </w:t>
      </w:r>
      <w:r w:rsidR="004A4F24" w:rsidRPr="00751243">
        <w:t>la Stazione appaltante</w:t>
      </w:r>
      <w:r w:rsidRPr="00751243">
        <w:t xml:space="preserve"> sta avviando in questi mesi. </w:t>
      </w:r>
      <w:r w:rsidR="00B1111A" w:rsidRPr="00751243">
        <w:t xml:space="preserve">La soluzione complessiva di monitoraggio sarà messa a disposizione </w:t>
      </w:r>
      <w:r w:rsidRPr="004C5A9E">
        <w:t>dell’</w:t>
      </w:r>
      <w:r w:rsidR="004C5A9E">
        <w:t>A</w:t>
      </w:r>
      <w:r w:rsidRPr="004C5A9E">
        <w:t>ggiudicatario</w:t>
      </w:r>
      <w:r w:rsidRPr="00751243">
        <w:t xml:space="preserve"> della presente iniziativa al momento della stipula del relativo Contratto. </w:t>
      </w:r>
      <w:r w:rsidR="00B1111A" w:rsidRPr="004C5A9E">
        <w:t>L’</w:t>
      </w:r>
      <w:r w:rsidR="004C5A9E">
        <w:t>A</w:t>
      </w:r>
      <w:r w:rsidR="00B1111A" w:rsidRPr="004C5A9E">
        <w:t>ggiudicatario dovrà prendere in carico la soluzione</w:t>
      </w:r>
      <w:r w:rsidR="003E1B09" w:rsidRPr="004C5A9E">
        <w:t xml:space="preserve"> in fase di avvio </w:t>
      </w:r>
      <w:r w:rsidR="004C5A9E">
        <w:t>dell</w:t>
      </w:r>
      <w:r w:rsidR="00FE3718">
        <w:t>e</w:t>
      </w:r>
      <w:r w:rsidR="004C5A9E">
        <w:t xml:space="preserve"> attività </w:t>
      </w:r>
      <w:r w:rsidR="00B1111A" w:rsidRPr="004C5A9E">
        <w:t xml:space="preserve">e dovrà </w:t>
      </w:r>
      <w:r w:rsidR="00C80B68" w:rsidRPr="004C5A9E">
        <w:t xml:space="preserve">inoltre </w:t>
      </w:r>
      <w:r w:rsidR="00B1111A" w:rsidRPr="004C5A9E">
        <w:t>garantire</w:t>
      </w:r>
      <w:r w:rsidR="004C5A9E">
        <w:t>,</w:t>
      </w:r>
      <w:r w:rsidR="00B1111A" w:rsidRPr="004C5A9E">
        <w:t xml:space="preserve"> </w:t>
      </w:r>
      <w:r w:rsidR="003E1B09" w:rsidRPr="004C5A9E">
        <w:t>per tutta la durata contrattuale</w:t>
      </w:r>
      <w:r w:rsidR="004C5A9E">
        <w:t>,</w:t>
      </w:r>
      <w:r w:rsidR="003E1B09" w:rsidRPr="004C5A9E">
        <w:t xml:space="preserve"> </w:t>
      </w:r>
      <w:r w:rsidR="00B1111A" w:rsidRPr="004C5A9E">
        <w:t xml:space="preserve">la conduzione applicativa e il supporto </w:t>
      </w:r>
      <w:r w:rsidR="004C5A9E">
        <w:t xml:space="preserve">alla Committente </w:t>
      </w:r>
      <w:r w:rsidR="00255C05">
        <w:t xml:space="preserve">nell’individuazione </w:t>
      </w:r>
      <w:r w:rsidR="00AF275B">
        <w:t xml:space="preserve">e nella messa in campo di possibili evoluzioni tecnologiche </w:t>
      </w:r>
      <w:r w:rsidR="00C80B68" w:rsidRPr="004C5A9E">
        <w:t>dell’</w:t>
      </w:r>
      <w:r w:rsidR="00B1111A" w:rsidRPr="004C5A9E">
        <w:t>intera soluzione di monitoraggio</w:t>
      </w:r>
      <w:r w:rsidR="00C80B68" w:rsidRPr="004C5A9E">
        <w:t>.</w:t>
      </w:r>
    </w:p>
    <w:p w14:paraId="1FF8A0B2" w14:textId="77777777" w:rsidR="00CD6968" w:rsidRDefault="00CD6968" w:rsidP="00A30A32">
      <w:pPr>
        <w:rPr>
          <w:b/>
        </w:rPr>
      </w:pPr>
      <w:r w:rsidRPr="00CD6968">
        <w:rPr>
          <w:b/>
        </w:rPr>
        <w:t>Fabbisogno</w:t>
      </w:r>
    </w:p>
    <w:p w14:paraId="203999D8" w14:textId="77777777" w:rsidR="00CD6968" w:rsidRPr="00CD6968" w:rsidRDefault="00CD6968" w:rsidP="004542A1">
      <w:r w:rsidRPr="00CD6968">
        <w:t xml:space="preserve">L’acquisizione, </w:t>
      </w:r>
      <w:r>
        <w:t xml:space="preserve">oggetto della presente </w:t>
      </w:r>
      <w:r w:rsidR="00620F42">
        <w:t>iniziativa</w:t>
      </w:r>
      <w:r w:rsidRPr="00CD6968">
        <w:t xml:space="preserve">, </w:t>
      </w:r>
      <w:r>
        <w:t xml:space="preserve">si pone l’obiettivo di </w:t>
      </w:r>
      <w:r w:rsidRPr="00CD6968">
        <w:t xml:space="preserve">soddisfare i seguenti ambiti funzionali </w:t>
      </w:r>
      <w:r>
        <w:t xml:space="preserve">di </w:t>
      </w:r>
      <w:r w:rsidRPr="00CD6968">
        <w:t>erogazione dei servizi di gestione e monitoraggio:</w:t>
      </w:r>
    </w:p>
    <w:p w14:paraId="5CCFAA64" w14:textId="77777777" w:rsidR="00CD6968" w:rsidRPr="00CD6968" w:rsidRDefault="00CD6968" w:rsidP="00CD6968">
      <w:pPr>
        <w:pStyle w:val="Paragrafoelenco"/>
        <w:numPr>
          <w:ilvl w:val="0"/>
          <w:numId w:val="27"/>
        </w:numPr>
        <w:rPr>
          <w:b/>
          <w:u w:val="single"/>
        </w:rPr>
      </w:pPr>
      <w:r w:rsidRPr="00CD6968">
        <w:rPr>
          <w:b/>
          <w:u w:val="single"/>
        </w:rPr>
        <w:t>Servizi Standard di Service Control Room</w:t>
      </w:r>
    </w:p>
    <w:p w14:paraId="25C89DA4" w14:textId="77777777" w:rsidR="00CD6968" w:rsidRDefault="00CD6968" w:rsidP="004542A1">
      <w:r>
        <w:t xml:space="preserve">Nell’ambito dei servizi core della </w:t>
      </w:r>
      <w:r w:rsidR="00603601">
        <w:t>Service Control Room</w:t>
      </w:r>
      <w:r>
        <w:t xml:space="preserve">, </w:t>
      </w:r>
      <w:r w:rsidR="00843764">
        <w:t>devono</w:t>
      </w:r>
      <w:r>
        <w:t xml:space="preserve"> essere garantite</w:t>
      </w:r>
      <w:r w:rsidR="00BE37C1">
        <w:t xml:space="preserve"> almeno</w:t>
      </w:r>
      <w:r>
        <w:t xml:space="preserve"> le seguenti attività:</w:t>
      </w:r>
    </w:p>
    <w:p w14:paraId="1C5451DB" w14:textId="77777777" w:rsidR="00CD6968" w:rsidRDefault="00CD6968" w:rsidP="004542A1">
      <w:pPr>
        <w:pStyle w:val="Paragrafoelenco"/>
        <w:numPr>
          <w:ilvl w:val="0"/>
          <w:numId w:val="38"/>
        </w:numPr>
        <w:tabs>
          <w:tab w:val="clear" w:pos="2520"/>
        </w:tabs>
        <w:ind w:left="993"/>
      </w:pPr>
      <w:r>
        <w:t>monitoraggio e controllo h 24 7/7 dei servizi e delle applicazioni</w:t>
      </w:r>
      <w:r w:rsidR="00F20B0E">
        <w:t>;</w:t>
      </w:r>
    </w:p>
    <w:p w14:paraId="69D4F7A7" w14:textId="77777777" w:rsidR="00CD6968" w:rsidRDefault="00F20B0E" w:rsidP="004542A1">
      <w:pPr>
        <w:pStyle w:val="Paragrafoelenco"/>
        <w:numPr>
          <w:ilvl w:val="0"/>
          <w:numId w:val="38"/>
        </w:numPr>
        <w:tabs>
          <w:tab w:val="clear" w:pos="2520"/>
        </w:tabs>
        <w:ind w:left="993"/>
      </w:pPr>
      <w:r>
        <w:t>a</w:t>
      </w:r>
      <w:r w:rsidR="00CD6968">
        <w:t>nalisi di primo livello degli eventi rilevati, indirizzo delle opportune azioni di riferimento verso i gruppi specialistici competenti o eventuali azioni di I livello certificate dall’Ufficio Esercizio Infrastrutture</w:t>
      </w:r>
      <w:r>
        <w:t>;</w:t>
      </w:r>
    </w:p>
    <w:p w14:paraId="2A2DAB3E" w14:textId="77777777" w:rsidR="00CD6968" w:rsidRDefault="00F20B0E" w:rsidP="004542A1">
      <w:pPr>
        <w:pStyle w:val="Paragrafoelenco"/>
        <w:numPr>
          <w:ilvl w:val="0"/>
          <w:numId w:val="38"/>
        </w:numPr>
        <w:tabs>
          <w:tab w:val="clear" w:pos="2520"/>
        </w:tabs>
        <w:ind w:left="993"/>
      </w:pPr>
      <w:r>
        <w:t>s</w:t>
      </w:r>
      <w:r w:rsidR="00CD6968">
        <w:t>upporto continuativo alla gestione dei Major Incident aperti</w:t>
      </w:r>
      <w:r>
        <w:t>;</w:t>
      </w:r>
    </w:p>
    <w:p w14:paraId="350F40BE" w14:textId="77777777" w:rsidR="00CD6968" w:rsidRDefault="00F20B0E" w:rsidP="004542A1">
      <w:pPr>
        <w:pStyle w:val="Paragrafoelenco"/>
        <w:numPr>
          <w:ilvl w:val="0"/>
          <w:numId w:val="38"/>
        </w:numPr>
        <w:tabs>
          <w:tab w:val="clear" w:pos="2520"/>
        </w:tabs>
        <w:ind w:left="993"/>
      </w:pPr>
      <w:r>
        <w:t>c</w:t>
      </w:r>
      <w:r w:rsidR="00CD6968">
        <w:t>onfigurazione dei modelli di servizio e delle regole di correlazione degli eventi rilevati dagli strumenti verticali di monitoraggio</w:t>
      </w:r>
      <w:r>
        <w:t>;</w:t>
      </w:r>
    </w:p>
    <w:p w14:paraId="25337CFC" w14:textId="77777777" w:rsidR="00CD6968" w:rsidRDefault="00F20B0E" w:rsidP="004542A1">
      <w:pPr>
        <w:pStyle w:val="Paragrafoelenco"/>
        <w:numPr>
          <w:ilvl w:val="0"/>
          <w:numId w:val="38"/>
        </w:numPr>
        <w:tabs>
          <w:tab w:val="clear" w:pos="2520"/>
        </w:tabs>
        <w:ind w:left="993"/>
      </w:pPr>
      <w:r>
        <w:lastRenderedPageBreak/>
        <w:t>r</w:t>
      </w:r>
      <w:r w:rsidR="00CD6968">
        <w:t>evisione continua dei modelli di servizio, allineamento alle variazioni infrastrutturali ed applicative, analisi continuativa delle soglie e miglioramento continuo delle modalità di monitoraggio</w:t>
      </w:r>
      <w:r>
        <w:t>;</w:t>
      </w:r>
    </w:p>
    <w:p w14:paraId="434E9FB8" w14:textId="77777777" w:rsidR="00BE37C1" w:rsidRDefault="00BE37C1" w:rsidP="004542A1">
      <w:pPr>
        <w:pStyle w:val="Paragrafoelenco"/>
        <w:numPr>
          <w:ilvl w:val="0"/>
          <w:numId w:val="38"/>
        </w:numPr>
        <w:tabs>
          <w:tab w:val="clear" w:pos="2520"/>
        </w:tabs>
        <w:ind w:left="993"/>
      </w:pPr>
      <w:r>
        <w:t>conduzione applicativa dell’intera soluzione di monitoraggio;</w:t>
      </w:r>
    </w:p>
    <w:p w14:paraId="3A523D52" w14:textId="77777777" w:rsidR="00CD6968" w:rsidRDefault="00255C05" w:rsidP="004542A1">
      <w:pPr>
        <w:pStyle w:val="Paragrafoelenco"/>
        <w:numPr>
          <w:ilvl w:val="0"/>
          <w:numId w:val="38"/>
        </w:numPr>
        <w:tabs>
          <w:tab w:val="clear" w:pos="2520"/>
        </w:tabs>
        <w:ind w:left="993"/>
      </w:pPr>
      <w:r>
        <w:t>s</w:t>
      </w:r>
      <w:r w:rsidR="00C80B68">
        <w:t>upporto all’</w:t>
      </w:r>
      <w:r w:rsidR="00F20B0E">
        <w:t>u</w:t>
      </w:r>
      <w:r w:rsidR="00CD6968">
        <w:t>pgrade della soluzione di monitoraggio per allineamento costante alle best practices disponibili sul mercato e per il mantenimento dell’allineamento alle evoluzioni tecnolog</w:t>
      </w:r>
      <w:r w:rsidR="00F20B0E">
        <w:t>iche della infrastruttura Inail;</w:t>
      </w:r>
    </w:p>
    <w:p w14:paraId="000746B7" w14:textId="77777777" w:rsidR="00C80B68" w:rsidRDefault="00BE37C1" w:rsidP="004542A1">
      <w:pPr>
        <w:pStyle w:val="Paragrafoelenco"/>
        <w:numPr>
          <w:ilvl w:val="0"/>
          <w:numId w:val="38"/>
        </w:numPr>
        <w:tabs>
          <w:tab w:val="clear" w:pos="2520"/>
        </w:tabs>
        <w:ind w:left="993"/>
      </w:pPr>
      <w:r w:rsidRPr="004C5A9E">
        <w:t xml:space="preserve">supporto </w:t>
      </w:r>
      <w:r>
        <w:t xml:space="preserve">alla Committente nell’individuazione e nella messa in campo di possibili evoluzioni tecnologiche </w:t>
      </w:r>
      <w:r w:rsidRPr="004C5A9E">
        <w:t>dell’intera soluzione di monitoraggio</w:t>
      </w:r>
      <w:r>
        <w:t>;</w:t>
      </w:r>
    </w:p>
    <w:p w14:paraId="32307861" w14:textId="77777777" w:rsidR="00F20B0E" w:rsidRDefault="00F20B0E" w:rsidP="004542A1">
      <w:pPr>
        <w:pStyle w:val="Paragrafoelenco"/>
        <w:numPr>
          <w:ilvl w:val="0"/>
          <w:numId w:val="38"/>
        </w:numPr>
        <w:tabs>
          <w:tab w:val="clear" w:pos="2520"/>
        </w:tabs>
        <w:ind w:left="993"/>
      </w:pPr>
      <w:r>
        <w:t>supporto on demand alle attività di certificazione del software (predisposizione monitoraggio ambiente di certificazione e supporto all’analisi dei dati derivanti dai relativi test);</w:t>
      </w:r>
    </w:p>
    <w:p w14:paraId="0886E6ED" w14:textId="77777777" w:rsidR="00F20B0E" w:rsidRDefault="00F20B0E" w:rsidP="004542A1">
      <w:pPr>
        <w:pStyle w:val="Paragrafoelenco"/>
        <w:numPr>
          <w:ilvl w:val="0"/>
          <w:numId w:val="38"/>
        </w:numPr>
        <w:tabs>
          <w:tab w:val="clear" w:pos="2520"/>
        </w:tabs>
        <w:ind w:left="993"/>
      </w:pPr>
      <w:r>
        <w:t>supporto on demand alle attività di sviluppo e manutenzione evolutiva del software finalizzata ad integrare al meglio le specificità del monitoraggio in fase di progettazione e implementazione degli applicativi;</w:t>
      </w:r>
    </w:p>
    <w:p w14:paraId="3A55D05D" w14:textId="77777777" w:rsidR="00F20B0E" w:rsidRDefault="00F20B0E" w:rsidP="004542A1">
      <w:pPr>
        <w:pStyle w:val="Paragrafoelenco"/>
        <w:numPr>
          <w:ilvl w:val="0"/>
          <w:numId w:val="38"/>
        </w:numPr>
        <w:tabs>
          <w:tab w:val="clear" w:pos="2520"/>
        </w:tabs>
        <w:ind w:left="993"/>
      </w:pPr>
      <w:r>
        <w:t>supporto on demand alle attività di progettazione e conduzione infrastrutturale finalizzata a supportare il rilascio in esercizio di servizi core per l’Istituto.</w:t>
      </w:r>
    </w:p>
    <w:p w14:paraId="09275774" w14:textId="77777777" w:rsidR="00CD6968" w:rsidRPr="00CD6968" w:rsidRDefault="00CD6968" w:rsidP="00CD6968">
      <w:pPr>
        <w:pStyle w:val="Paragrafoelenco"/>
        <w:numPr>
          <w:ilvl w:val="0"/>
          <w:numId w:val="27"/>
        </w:numPr>
        <w:rPr>
          <w:b/>
          <w:u w:val="single"/>
        </w:rPr>
      </w:pPr>
      <w:r w:rsidRPr="00CD6968">
        <w:rPr>
          <w:b/>
          <w:u w:val="single"/>
        </w:rPr>
        <w:t>Servizi di supporto al governo delle operazioni</w:t>
      </w:r>
    </w:p>
    <w:p w14:paraId="4552C48C" w14:textId="77777777" w:rsidR="00CD6968" w:rsidRDefault="00CD6968" w:rsidP="004542A1">
      <w:r w:rsidRPr="00CD6968">
        <w:t>Il governo delle operazioni presuppone la presenza di risorse altamente specializzate e certificate con particolare attenzione sul miglioramento continuo delle procedure/istruzioni operative e sul supporto alla gestione dei Major Incident e dei Problem.</w:t>
      </w:r>
    </w:p>
    <w:p w14:paraId="134B0CAC" w14:textId="77777777" w:rsidR="00F20B0E" w:rsidRDefault="00F20B0E" w:rsidP="004542A1">
      <w:r>
        <w:t xml:space="preserve">In tale ambito </w:t>
      </w:r>
      <w:r w:rsidR="00843764">
        <w:t>devono</w:t>
      </w:r>
      <w:r>
        <w:t xml:space="preserve"> essere garantite almeno le seguenti attività:</w:t>
      </w:r>
    </w:p>
    <w:p w14:paraId="4131E5D8" w14:textId="77777777" w:rsidR="00F20B0E" w:rsidRDefault="00F20B0E" w:rsidP="004542A1">
      <w:pPr>
        <w:pStyle w:val="Paragrafoelenco"/>
        <w:numPr>
          <w:ilvl w:val="0"/>
          <w:numId w:val="39"/>
        </w:numPr>
        <w:tabs>
          <w:tab w:val="clear" w:pos="2520"/>
        </w:tabs>
        <w:ind w:left="993"/>
      </w:pPr>
      <w:r>
        <w:t>supporto operativo all’Incident Manager nella gestione dei major incident;</w:t>
      </w:r>
    </w:p>
    <w:p w14:paraId="324B74A0" w14:textId="77777777" w:rsidR="00F20B0E" w:rsidRDefault="00554F2F" w:rsidP="004542A1">
      <w:pPr>
        <w:pStyle w:val="Paragrafoelenco"/>
        <w:numPr>
          <w:ilvl w:val="0"/>
          <w:numId w:val="39"/>
        </w:numPr>
        <w:tabs>
          <w:tab w:val="clear" w:pos="2520"/>
        </w:tabs>
        <w:ind w:left="993"/>
      </w:pPr>
      <w:r>
        <w:t>s</w:t>
      </w:r>
      <w:r w:rsidR="00F20B0E">
        <w:t>upporto operativo al Problem Manager nella gestione dei Problem</w:t>
      </w:r>
      <w:r>
        <w:t>;</w:t>
      </w:r>
    </w:p>
    <w:p w14:paraId="13C5D9D9" w14:textId="77777777" w:rsidR="00F20B0E" w:rsidRDefault="00554F2F" w:rsidP="004542A1">
      <w:pPr>
        <w:pStyle w:val="Paragrafoelenco"/>
        <w:numPr>
          <w:ilvl w:val="0"/>
          <w:numId w:val="39"/>
        </w:numPr>
        <w:tabs>
          <w:tab w:val="clear" w:pos="2520"/>
        </w:tabs>
        <w:ind w:left="993"/>
      </w:pPr>
      <w:r>
        <w:t>s</w:t>
      </w:r>
      <w:r w:rsidR="00F20B0E">
        <w:t>upporto operativo alla pianificazione, monitoraggio ed indirizzo delle azioni correttive sul funzionamento della Service Control Room</w:t>
      </w:r>
      <w:r>
        <w:t>;</w:t>
      </w:r>
    </w:p>
    <w:p w14:paraId="28430465" w14:textId="77777777" w:rsidR="00554F2F" w:rsidRDefault="00554F2F" w:rsidP="004542A1">
      <w:pPr>
        <w:pStyle w:val="Paragrafoelenco"/>
        <w:numPr>
          <w:ilvl w:val="0"/>
          <w:numId w:val="39"/>
        </w:numPr>
        <w:tabs>
          <w:tab w:val="clear" w:pos="2520"/>
        </w:tabs>
        <w:ind w:left="993"/>
      </w:pPr>
      <w:r>
        <w:t>s</w:t>
      </w:r>
      <w:r w:rsidRPr="00554F2F">
        <w:t>upporto operativo nell’interazione continua con gli altri uffici impattati dalle attività di monitoraggio</w:t>
      </w:r>
      <w:r>
        <w:t>.</w:t>
      </w:r>
    </w:p>
    <w:p w14:paraId="2E0C50C3" w14:textId="77777777" w:rsidR="00CD6968" w:rsidRPr="00CD6968" w:rsidRDefault="00CD6968" w:rsidP="00CD6968">
      <w:pPr>
        <w:pStyle w:val="Paragrafoelenco"/>
        <w:numPr>
          <w:ilvl w:val="0"/>
          <w:numId w:val="27"/>
        </w:numPr>
        <w:rPr>
          <w:b/>
          <w:u w:val="single"/>
        </w:rPr>
      </w:pPr>
      <w:r w:rsidRPr="00CD6968">
        <w:rPr>
          <w:b/>
          <w:u w:val="single"/>
        </w:rPr>
        <w:t>Servizi di supporto Specialistico</w:t>
      </w:r>
    </w:p>
    <w:p w14:paraId="298319EA" w14:textId="77777777" w:rsidR="00CD6968" w:rsidRPr="00CD6968" w:rsidRDefault="00CD6968" w:rsidP="004542A1">
      <w:r w:rsidRPr="00CD6968">
        <w:t xml:space="preserve">Le risorse dedicate al supporto specialistico </w:t>
      </w:r>
      <w:r w:rsidR="00843764">
        <w:t>devono</w:t>
      </w:r>
      <w:r w:rsidRPr="00CD6968">
        <w:t xml:space="preserve"> </w:t>
      </w:r>
      <w:r w:rsidR="00FF7E05">
        <w:t>eseguire almeno le seguenti attività</w:t>
      </w:r>
      <w:r w:rsidRPr="00CD6968">
        <w:t>:</w:t>
      </w:r>
    </w:p>
    <w:p w14:paraId="2585EE04" w14:textId="77777777" w:rsidR="00FF7E05" w:rsidRDefault="00FF7E05" w:rsidP="004542A1">
      <w:pPr>
        <w:pStyle w:val="Paragrafoelenco"/>
        <w:numPr>
          <w:ilvl w:val="1"/>
          <w:numId w:val="40"/>
        </w:numPr>
        <w:ind w:left="993"/>
      </w:pPr>
      <w:r>
        <w:t>analisi per la definizione e miglioramento continuo della reportistica operativa (mensilmente) e direzionale (trimestralmente) sull’andamento dei servizi oggetto di monitoraggio;</w:t>
      </w:r>
    </w:p>
    <w:p w14:paraId="1E08D849" w14:textId="77777777" w:rsidR="00FF7E05" w:rsidRDefault="00FF7E05" w:rsidP="004542A1">
      <w:pPr>
        <w:pStyle w:val="Paragrafoelenco"/>
        <w:numPr>
          <w:ilvl w:val="1"/>
          <w:numId w:val="40"/>
        </w:numPr>
        <w:ind w:left="993"/>
      </w:pPr>
      <w:r>
        <w:t>predisposizione della reportistica operativa e direzionale (periodica o on demand) a supporto del miglioramento continuo dei servizi monitorati;</w:t>
      </w:r>
    </w:p>
    <w:p w14:paraId="545E3146" w14:textId="77777777" w:rsidR="00FF7E05" w:rsidRDefault="00FF7E05" w:rsidP="004542A1">
      <w:pPr>
        <w:pStyle w:val="Paragrafoelenco"/>
        <w:numPr>
          <w:ilvl w:val="1"/>
          <w:numId w:val="40"/>
        </w:numPr>
        <w:ind w:left="993"/>
      </w:pPr>
      <w:r>
        <w:lastRenderedPageBreak/>
        <w:t>analisi e configurazione della soluzione a supporto del calcolo degli indicatori di qualità/livelli di servizio (Underpinning Contract) verso i fornitori di servizi previsti dai relativi contratti stipulati dalla DCOD;</w:t>
      </w:r>
    </w:p>
    <w:p w14:paraId="3C953295" w14:textId="77777777" w:rsidR="00FF7E05" w:rsidRDefault="00FF7E05" w:rsidP="004542A1">
      <w:pPr>
        <w:pStyle w:val="Paragrafoelenco"/>
        <w:numPr>
          <w:ilvl w:val="1"/>
          <w:numId w:val="40"/>
        </w:numPr>
        <w:ind w:left="993"/>
      </w:pPr>
      <w:r>
        <w:t>analisi e configurazione della soluzione a supporto del calcolo dei KPI tecnologici per la misurazione degli SLA definiti sui singoli servizi e verso le PA Aderenti.</w:t>
      </w:r>
    </w:p>
    <w:p w14:paraId="42C2440A" w14:textId="77777777" w:rsidR="00D97635" w:rsidRDefault="00D97635" w:rsidP="00D97635">
      <w:pPr>
        <w:rPr>
          <w:b/>
        </w:rPr>
      </w:pPr>
      <w:r>
        <w:rPr>
          <w:b/>
        </w:rPr>
        <w:t>Profili Professionali</w:t>
      </w:r>
    </w:p>
    <w:p w14:paraId="31B8F92B" w14:textId="77777777" w:rsidR="00D97635" w:rsidRDefault="00743AF8" w:rsidP="00D97635">
      <w:r>
        <w:t>La seguente tabella</w:t>
      </w:r>
      <w:r w:rsidR="004F2616">
        <w:t xml:space="preserve"> riporta una breve descrizione dei requisiti minimi dei profili professionali che potranno essere richiesti dalla Committente</w:t>
      </w:r>
      <w:r w:rsidR="00CC302B">
        <w:t xml:space="preserve"> e ai quali l’Aggiudicatario </w:t>
      </w:r>
      <w:r w:rsidR="00F03F4A">
        <w:t>dovrà</w:t>
      </w:r>
      <w:r w:rsidR="00CC302B">
        <w:t xml:space="preserve"> conformarsi per ciascuna risorsa offerta</w:t>
      </w:r>
      <w:r w:rsidR="00634F00">
        <w:t xml:space="preserve"> (salvo quando diversamente specificato)</w:t>
      </w:r>
      <w:r w:rsidR="004F2616">
        <w:t>.</w:t>
      </w:r>
    </w:p>
    <w:tbl>
      <w:tblPr>
        <w:tblStyle w:val="Grigliatabella"/>
        <w:tblW w:w="9923" w:type="dxa"/>
        <w:tblInd w:w="-572" w:type="dxa"/>
        <w:tblLook w:val="04A0" w:firstRow="1" w:lastRow="0" w:firstColumn="1" w:lastColumn="0" w:noHBand="0" w:noVBand="1"/>
      </w:tblPr>
      <w:tblGrid>
        <w:gridCol w:w="2051"/>
        <w:gridCol w:w="1918"/>
        <w:gridCol w:w="1418"/>
        <w:gridCol w:w="4536"/>
      </w:tblGrid>
      <w:tr w:rsidR="00751243" w:rsidRPr="008B7C75" w14:paraId="088F7662" w14:textId="77777777" w:rsidTr="00751243">
        <w:trPr>
          <w:tblHeader/>
        </w:trPr>
        <w:tc>
          <w:tcPr>
            <w:tcW w:w="2051" w:type="dxa"/>
            <w:shd w:val="clear" w:color="auto" w:fill="DBE5F1" w:themeFill="accent1" w:themeFillTint="33"/>
            <w:vAlign w:val="center"/>
          </w:tcPr>
          <w:p w14:paraId="203BAFAE" w14:textId="77777777" w:rsidR="008B7C75" w:rsidRPr="008B7C75" w:rsidRDefault="008B7C75" w:rsidP="00D97635">
            <w:pPr>
              <w:ind w:left="0"/>
              <w:rPr>
                <w:b/>
                <w:sz w:val="16"/>
              </w:rPr>
            </w:pPr>
            <w:r w:rsidRPr="008B7C75">
              <w:rPr>
                <w:b/>
                <w:sz w:val="16"/>
              </w:rPr>
              <w:t>Profilo Professionale</w:t>
            </w:r>
          </w:p>
        </w:tc>
        <w:tc>
          <w:tcPr>
            <w:tcW w:w="1918" w:type="dxa"/>
            <w:shd w:val="clear" w:color="auto" w:fill="DBE5F1" w:themeFill="accent1" w:themeFillTint="33"/>
            <w:vAlign w:val="center"/>
          </w:tcPr>
          <w:p w14:paraId="2CCF5D82" w14:textId="77777777" w:rsidR="008B7C75" w:rsidRPr="008B7C75" w:rsidRDefault="008B7C75" w:rsidP="00D97635">
            <w:pPr>
              <w:ind w:left="0"/>
              <w:rPr>
                <w:b/>
                <w:sz w:val="16"/>
              </w:rPr>
            </w:pPr>
            <w:r w:rsidRPr="008B7C75">
              <w:rPr>
                <w:b/>
                <w:sz w:val="16"/>
              </w:rPr>
              <w:t>Ruolo</w:t>
            </w:r>
          </w:p>
        </w:tc>
        <w:tc>
          <w:tcPr>
            <w:tcW w:w="1418" w:type="dxa"/>
            <w:shd w:val="clear" w:color="auto" w:fill="DBE5F1" w:themeFill="accent1" w:themeFillTint="33"/>
            <w:vAlign w:val="center"/>
          </w:tcPr>
          <w:p w14:paraId="2A432004" w14:textId="77777777" w:rsidR="008B7C75" w:rsidRPr="008B7C75" w:rsidRDefault="008B7C75" w:rsidP="00D97635">
            <w:pPr>
              <w:ind w:left="0"/>
              <w:rPr>
                <w:b/>
                <w:sz w:val="16"/>
              </w:rPr>
            </w:pPr>
            <w:r w:rsidRPr="008B7C75">
              <w:rPr>
                <w:b/>
                <w:sz w:val="16"/>
              </w:rPr>
              <w:t>Anzianità lavorativa minima</w:t>
            </w:r>
          </w:p>
        </w:tc>
        <w:tc>
          <w:tcPr>
            <w:tcW w:w="4536" w:type="dxa"/>
            <w:shd w:val="clear" w:color="auto" w:fill="DBE5F1" w:themeFill="accent1" w:themeFillTint="33"/>
            <w:vAlign w:val="center"/>
          </w:tcPr>
          <w:p w14:paraId="6C30007C" w14:textId="77777777" w:rsidR="008B7C75" w:rsidRPr="008B7C75" w:rsidRDefault="008B7C75" w:rsidP="00D97635">
            <w:pPr>
              <w:ind w:left="0"/>
              <w:rPr>
                <w:b/>
                <w:sz w:val="16"/>
              </w:rPr>
            </w:pPr>
            <w:r w:rsidRPr="008B7C75">
              <w:rPr>
                <w:b/>
                <w:sz w:val="16"/>
              </w:rPr>
              <w:t>Certificazioni</w:t>
            </w:r>
          </w:p>
        </w:tc>
      </w:tr>
      <w:tr w:rsidR="00634F00" w:rsidRPr="008B7C75" w14:paraId="25683879" w14:textId="77777777" w:rsidTr="00751243">
        <w:tc>
          <w:tcPr>
            <w:tcW w:w="2051" w:type="dxa"/>
            <w:vAlign w:val="center"/>
          </w:tcPr>
          <w:p w14:paraId="02BD3F48" w14:textId="77777777" w:rsidR="008B7C75" w:rsidRPr="008B7C75" w:rsidRDefault="008B7C75" w:rsidP="00D97635">
            <w:pPr>
              <w:ind w:left="0"/>
              <w:rPr>
                <w:sz w:val="16"/>
              </w:rPr>
            </w:pPr>
            <w:r w:rsidRPr="008B7C75">
              <w:rPr>
                <w:sz w:val="16"/>
              </w:rPr>
              <w:t>Responsabile del contratto</w:t>
            </w:r>
          </w:p>
        </w:tc>
        <w:tc>
          <w:tcPr>
            <w:tcW w:w="1918" w:type="dxa"/>
            <w:vAlign w:val="center"/>
          </w:tcPr>
          <w:p w14:paraId="3131710B" w14:textId="77777777" w:rsidR="008B7C75" w:rsidRPr="008B7C75" w:rsidRDefault="008B7C75" w:rsidP="00D97635">
            <w:pPr>
              <w:ind w:left="0"/>
              <w:rPr>
                <w:sz w:val="16"/>
              </w:rPr>
            </w:pPr>
            <w:r w:rsidRPr="008B7C75">
              <w:rPr>
                <w:sz w:val="16"/>
              </w:rPr>
              <w:t>Responsabile del coordinamento di tutte le attività inerenti la fornitura</w:t>
            </w:r>
          </w:p>
        </w:tc>
        <w:tc>
          <w:tcPr>
            <w:tcW w:w="1418" w:type="dxa"/>
            <w:vAlign w:val="center"/>
          </w:tcPr>
          <w:p w14:paraId="50CA7C34" w14:textId="77777777" w:rsidR="008B7C75" w:rsidRPr="008B7C75" w:rsidRDefault="008B7C75" w:rsidP="00D97635">
            <w:pPr>
              <w:ind w:left="0"/>
              <w:rPr>
                <w:sz w:val="16"/>
              </w:rPr>
            </w:pPr>
            <w:r w:rsidRPr="008B7C75">
              <w:rPr>
                <w:sz w:val="16"/>
              </w:rPr>
              <w:t>10 anni</w:t>
            </w:r>
          </w:p>
        </w:tc>
        <w:tc>
          <w:tcPr>
            <w:tcW w:w="4536" w:type="dxa"/>
            <w:vAlign w:val="center"/>
          </w:tcPr>
          <w:p w14:paraId="030BB322" w14:textId="77777777" w:rsidR="002B6A76" w:rsidRPr="00FE465F" w:rsidRDefault="002B6A76" w:rsidP="002B6A76">
            <w:pPr>
              <w:ind w:left="0"/>
              <w:rPr>
                <w:sz w:val="16"/>
              </w:rPr>
            </w:pPr>
            <w:r w:rsidRPr="00FE465F">
              <w:rPr>
                <w:sz w:val="16"/>
              </w:rPr>
              <w:t>Certificazione in almeno uno dei seguenti ambiti:</w:t>
            </w:r>
          </w:p>
          <w:p w14:paraId="72E3C377" w14:textId="77777777" w:rsidR="002B6A76" w:rsidRPr="00FE465F" w:rsidRDefault="002B6A76" w:rsidP="00634F00">
            <w:pPr>
              <w:pStyle w:val="Bulletpointdentrotabella"/>
            </w:pPr>
            <w:r w:rsidRPr="00FE465F">
              <w:t>IT governance quale COBIT Implementation/Assessor, oppure ISACA CGEIT, oppure altra certificazione di livello equivalente o superiore;</w:t>
            </w:r>
          </w:p>
          <w:p w14:paraId="26CE9B34" w14:textId="77777777" w:rsidR="002B6A76" w:rsidRPr="00FE465F" w:rsidRDefault="002B6A76" w:rsidP="00634F00">
            <w:pPr>
              <w:pStyle w:val="Bulletpointdentrotabella"/>
            </w:pPr>
            <w:r w:rsidRPr="00FE465F">
              <w:t xml:space="preserve">project management quale PRINCE2 practitioner, oppure PMI Project management Professional (PMP), oppure ISIPM-AV, oppure IPMA project manager (level C), oppure altra certificazione di livello equivalente o superiore; </w:t>
            </w:r>
          </w:p>
          <w:p w14:paraId="5F24E4BE" w14:textId="77777777" w:rsidR="008B7C75" w:rsidRPr="00FE465F" w:rsidRDefault="002B6A76" w:rsidP="00751243">
            <w:pPr>
              <w:pStyle w:val="Bulletpointdentrotabella"/>
            </w:pPr>
            <w:r w:rsidRPr="00FE465F">
              <w:t>ITIL v4 Managing Professional, oppure altra certificazione di livello superiore.</w:t>
            </w:r>
          </w:p>
        </w:tc>
      </w:tr>
      <w:tr w:rsidR="00634F00" w:rsidRPr="008B7C75" w14:paraId="1B99B700" w14:textId="77777777" w:rsidTr="00751243">
        <w:tc>
          <w:tcPr>
            <w:tcW w:w="2051" w:type="dxa"/>
            <w:vAlign w:val="center"/>
          </w:tcPr>
          <w:p w14:paraId="2A4B3F91" w14:textId="77777777" w:rsidR="008B7C75" w:rsidRPr="008B7C75" w:rsidRDefault="008B7C75" w:rsidP="00D97635">
            <w:pPr>
              <w:ind w:left="0"/>
              <w:rPr>
                <w:sz w:val="16"/>
              </w:rPr>
            </w:pPr>
            <w:r w:rsidRPr="008B7C75">
              <w:rPr>
                <w:sz w:val="16"/>
              </w:rPr>
              <w:t>Responsabile operativo</w:t>
            </w:r>
          </w:p>
        </w:tc>
        <w:tc>
          <w:tcPr>
            <w:tcW w:w="1918" w:type="dxa"/>
            <w:vAlign w:val="center"/>
          </w:tcPr>
          <w:p w14:paraId="23D26DB4" w14:textId="77777777" w:rsidR="008B7C75" w:rsidRPr="008B7C75" w:rsidRDefault="00331F46" w:rsidP="00D97635">
            <w:pPr>
              <w:ind w:left="0"/>
              <w:rPr>
                <w:sz w:val="16"/>
              </w:rPr>
            </w:pPr>
            <w:r>
              <w:rPr>
                <w:sz w:val="16"/>
              </w:rPr>
              <w:t>C</w:t>
            </w:r>
            <w:r w:rsidRPr="00331F46">
              <w:rPr>
                <w:sz w:val="16"/>
              </w:rPr>
              <w:t>oordinamento tecnico dei team di presidio della Service Control Room</w:t>
            </w:r>
          </w:p>
        </w:tc>
        <w:tc>
          <w:tcPr>
            <w:tcW w:w="1418" w:type="dxa"/>
            <w:vAlign w:val="center"/>
          </w:tcPr>
          <w:p w14:paraId="5AC74591" w14:textId="77777777" w:rsidR="008B7C75" w:rsidRPr="008B7C75" w:rsidRDefault="002B6A76" w:rsidP="00D97635">
            <w:pPr>
              <w:ind w:left="0"/>
              <w:rPr>
                <w:sz w:val="16"/>
              </w:rPr>
            </w:pPr>
            <w:r>
              <w:rPr>
                <w:sz w:val="16"/>
              </w:rPr>
              <w:t xml:space="preserve">8 </w:t>
            </w:r>
            <w:r w:rsidR="00331F46">
              <w:rPr>
                <w:sz w:val="16"/>
              </w:rPr>
              <w:t>anni</w:t>
            </w:r>
          </w:p>
        </w:tc>
        <w:tc>
          <w:tcPr>
            <w:tcW w:w="4536" w:type="dxa"/>
            <w:vAlign w:val="center"/>
          </w:tcPr>
          <w:p w14:paraId="29C4A7D7" w14:textId="77777777" w:rsidR="002B6A76" w:rsidRPr="00FE465F" w:rsidRDefault="002B6A76" w:rsidP="002B6A76">
            <w:pPr>
              <w:ind w:left="0"/>
              <w:rPr>
                <w:sz w:val="16"/>
              </w:rPr>
            </w:pPr>
            <w:r w:rsidRPr="00FE465F">
              <w:rPr>
                <w:sz w:val="16"/>
              </w:rPr>
              <w:t>Certificazione nei seguenti ambiti:</w:t>
            </w:r>
          </w:p>
          <w:p w14:paraId="7867A69D" w14:textId="77777777" w:rsidR="00813595" w:rsidRPr="00FE465F" w:rsidRDefault="002B6A76" w:rsidP="00634F00">
            <w:pPr>
              <w:pStyle w:val="Bulletpointdentrotabella"/>
            </w:pPr>
            <w:r w:rsidRPr="00FE465F">
              <w:t xml:space="preserve">Project management </w:t>
            </w:r>
            <w:r w:rsidR="00A674B4" w:rsidRPr="00FE465F">
              <w:t>quale (scenari tra loro alternativi)</w:t>
            </w:r>
            <w:r w:rsidR="00813595" w:rsidRPr="00FE465F">
              <w:t>:</w:t>
            </w:r>
          </w:p>
          <w:p w14:paraId="3B6FC820" w14:textId="19B0C9AA" w:rsidR="00813595" w:rsidRPr="00FE465F" w:rsidRDefault="003D05FC" w:rsidP="00634F00">
            <w:pPr>
              <w:pStyle w:val="Bulletpointdentrotabella"/>
              <w:numPr>
                <w:ilvl w:val="0"/>
                <w:numId w:val="47"/>
              </w:numPr>
              <w:ind w:left="599" w:hanging="239"/>
              <w:rPr>
                <w:lang w:val="en-US"/>
              </w:rPr>
            </w:pPr>
            <w:r w:rsidRPr="00FE465F">
              <w:rPr>
                <w:lang w:val="en-US"/>
              </w:rPr>
              <w:t xml:space="preserve">Agile PM Foundation e </w:t>
            </w:r>
            <w:r w:rsidR="00813595" w:rsidRPr="00FE465F">
              <w:rPr>
                <w:lang w:val="en-US"/>
              </w:rPr>
              <w:t>PRINCE2 practitioner;</w:t>
            </w:r>
          </w:p>
          <w:p w14:paraId="4A5D4D77" w14:textId="77777777" w:rsidR="00813595" w:rsidRPr="00FE465F" w:rsidRDefault="00813595" w:rsidP="00634F00">
            <w:pPr>
              <w:pStyle w:val="Bulletpointdentrotabella"/>
              <w:numPr>
                <w:ilvl w:val="0"/>
                <w:numId w:val="47"/>
              </w:numPr>
              <w:ind w:left="599" w:hanging="239"/>
            </w:pPr>
            <w:r w:rsidRPr="00FE465F">
              <w:t>PMI-PMP;</w:t>
            </w:r>
          </w:p>
          <w:p w14:paraId="78719FE6" w14:textId="77777777" w:rsidR="00813595" w:rsidRPr="00FE465F" w:rsidRDefault="003D05FC" w:rsidP="00634F00">
            <w:pPr>
              <w:pStyle w:val="Bulletpointdentrotabella"/>
              <w:numPr>
                <w:ilvl w:val="0"/>
                <w:numId w:val="47"/>
              </w:numPr>
              <w:ind w:left="599" w:hanging="239"/>
            </w:pPr>
            <w:r w:rsidRPr="00FE465F">
              <w:t xml:space="preserve">Agile PM Foundation e </w:t>
            </w:r>
            <w:r w:rsidR="00813595" w:rsidRPr="00FE465F">
              <w:t>altra certificazione di livello equivalente o superiore</w:t>
            </w:r>
            <w:r w:rsidRPr="00FE465F">
              <w:t xml:space="preserve"> a Prince2</w:t>
            </w:r>
            <w:r w:rsidR="00813595" w:rsidRPr="00FE465F">
              <w:t>.</w:t>
            </w:r>
          </w:p>
          <w:p w14:paraId="3A103A4F" w14:textId="77777777" w:rsidR="008B7C75" w:rsidRPr="00FE465F" w:rsidRDefault="002B6A76" w:rsidP="00751243">
            <w:pPr>
              <w:pStyle w:val="Bulletpointdentrotabella"/>
            </w:pPr>
            <w:r w:rsidRPr="00FE465F">
              <w:t>IT Service Management quale ITIL 4 Managing Professional o superiore, oppure altra certificazione ITIL di livello analogo in caso di evoluzione del relativo percorso di certificazione</w:t>
            </w:r>
          </w:p>
        </w:tc>
      </w:tr>
      <w:tr w:rsidR="00634F00" w:rsidRPr="008B7C75" w14:paraId="0079357F" w14:textId="77777777" w:rsidTr="00751243">
        <w:tc>
          <w:tcPr>
            <w:tcW w:w="2051" w:type="dxa"/>
            <w:vAlign w:val="center"/>
          </w:tcPr>
          <w:p w14:paraId="730E4DB8" w14:textId="77777777" w:rsidR="009C6ABC" w:rsidRPr="008B7C75" w:rsidRDefault="009C6ABC" w:rsidP="00634F00">
            <w:pPr>
              <w:ind w:left="0"/>
              <w:rPr>
                <w:sz w:val="16"/>
              </w:rPr>
            </w:pPr>
            <w:r w:rsidRPr="009C6ABC">
              <w:rPr>
                <w:sz w:val="16"/>
              </w:rPr>
              <w:t>Sistemista Senior (</w:t>
            </w:r>
            <w:r w:rsidR="005B2D4E">
              <w:rPr>
                <w:sz w:val="16"/>
              </w:rPr>
              <w:t>progettazione</w:t>
            </w:r>
            <w:r w:rsidRPr="009C6ABC">
              <w:rPr>
                <w:sz w:val="16"/>
              </w:rPr>
              <w:t>)</w:t>
            </w:r>
          </w:p>
        </w:tc>
        <w:tc>
          <w:tcPr>
            <w:tcW w:w="1918" w:type="dxa"/>
            <w:vAlign w:val="center"/>
          </w:tcPr>
          <w:p w14:paraId="06C87A11" w14:textId="77777777" w:rsidR="009C6ABC" w:rsidRPr="009C6ABC" w:rsidRDefault="009C6ABC" w:rsidP="009C6ABC">
            <w:pPr>
              <w:ind w:left="0"/>
              <w:rPr>
                <w:sz w:val="16"/>
              </w:rPr>
            </w:pPr>
            <w:r w:rsidRPr="009C6ABC">
              <w:rPr>
                <w:sz w:val="16"/>
              </w:rPr>
              <w:t>Membro del team sistemistico della Service Control Room per la configurazione e manutenzione dei modelli di servizio/applicazione</w:t>
            </w:r>
          </w:p>
          <w:p w14:paraId="53FF9925" w14:textId="77777777" w:rsidR="009C6ABC" w:rsidRPr="009C6ABC" w:rsidRDefault="009C6ABC" w:rsidP="009C6ABC">
            <w:pPr>
              <w:ind w:left="0"/>
              <w:rPr>
                <w:sz w:val="16"/>
              </w:rPr>
            </w:pPr>
            <w:r w:rsidRPr="009C6ABC">
              <w:rPr>
                <w:sz w:val="16"/>
              </w:rPr>
              <w:t>oppure</w:t>
            </w:r>
          </w:p>
          <w:p w14:paraId="0FA2F869" w14:textId="77777777" w:rsidR="009C6ABC" w:rsidRPr="008B7C75" w:rsidRDefault="009C6ABC" w:rsidP="009C6ABC">
            <w:pPr>
              <w:ind w:left="0"/>
              <w:rPr>
                <w:sz w:val="16"/>
              </w:rPr>
            </w:pPr>
            <w:r w:rsidRPr="009C6ABC">
              <w:rPr>
                <w:sz w:val="16"/>
              </w:rPr>
              <w:lastRenderedPageBreak/>
              <w:t>Supporto specialistico per la progettazione in ambito monitoraggio</w:t>
            </w:r>
          </w:p>
        </w:tc>
        <w:tc>
          <w:tcPr>
            <w:tcW w:w="1418" w:type="dxa"/>
            <w:vAlign w:val="center"/>
          </w:tcPr>
          <w:p w14:paraId="7A20910F" w14:textId="77777777" w:rsidR="009C6ABC" w:rsidRPr="008B7C75" w:rsidRDefault="009C6ABC" w:rsidP="009C6ABC">
            <w:pPr>
              <w:ind w:left="0"/>
              <w:rPr>
                <w:sz w:val="16"/>
              </w:rPr>
            </w:pPr>
            <w:r>
              <w:rPr>
                <w:sz w:val="16"/>
              </w:rPr>
              <w:lastRenderedPageBreak/>
              <w:t>5 anni</w:t>
            </w:r>
          </w:p>
        </w:tc>
        <w:tc>
          <w:tcPr>
            <w:tcW w:w="4536" w:type="dxa"/>
            <w:vAlign w:val="center"/>
          </w:tcPr>
          <w:p w14:paraId="4E69E023" w14:textId="77777777" w:rsidR="005B2D4E" w:rsidRPr="00FE465F" w:rsidRDefault="005B2D4E" w:rsidP="005B2D4E">
            <w:pPr>
              <w:ind w:left="0"/>
              <w:rPr>
                <w:sz w:val="16"/>
              </w:rPr>
            </w:pPr>
            <w:r w:rsidRPr="00FE465F">
              <w:rPr>
                <w:sz w:val="16"/>
              </w:rPr>
              <w:t xml:space="preserve">Certificazione </w:t>
            </w:r>
            <w:r w:rsidR="0003306E" w:rsidRPr="00FE465F">
              <w:rPr>
                <w:sz w:val="16"/>
              </w:rPr>
              <w:t xml:space="preserve">nei </w:t>
            </w:r>
            <w:r w:rsidRPr="00FE465F">
              <w:rPr>
                <w:sz w:val="16"/>
              </w:rPr>
              <w:t>seguenti ambiti:</w:t>
            </w:r>
          </w:p>
          <w:p w14:paraId="4EC889F0" w14:textId="77777777" w:rsidR="005B2D4E" w:rsidRPr="00FE465F" w:rsidRDefault="005B2D4E" w:rsidP="004E71C7">
            <w:pPr>
              <w:pStyle w:val="Bulletpointdentrotabella"/>
            </w:pPr>
            <w:r w:rsidRPr="00FE465F">
              <w:t xml:space="preserve">IT Monitoring quale Dynatrace Professional </w:t>
            </w:r>
            <w:r w:rsidR="0043116D" w:rsidRPr="00FE465F">
              <w:t>o</w:t>
            </w:r>
            <w:r w:rsidRPr="00FE465F">
              <w:t xml:space="preserve"> superiore</w:t>
            </w:r>
            <w:r w:rsidR="0003306E" w:rsidRPr="00FE465F">
              <w:t xml:space="preserve"> (</w:t>
            </w:r>
            <w:r w:rsidR="0060058E" w:rsidRPr="00FE465F">
              <w:t>il presente requisito minimo dovrà essere rispettato</w:t>
            </w:r>
            <w:r w:rsidR="0003306E" w:rsidRPr="00FE465F">
              <w:t xml:space="preserve"> da almeno il </w:t>
            </w:r>
            <w:r w:rsidR="0043116D" w:rsidRPr="00FE465F">
              <w:t>5</w:t>
            </w:r>
            <w:r w:rsidR="0003306E" w:rsidRPr="00FE465F">
              <w:t>0% del</w:t>
            </w:r>
            <w:r w:rsidR="0060058E" w:rsidRPr="00FE465F">
              <w:t>la totalità del personale messo a disposizione dal fornitore per i profili professionali di “Sistemista Senior (progettazione)” e “</w:t>
            </w:r>
            <w:r w:rsidR="004E71C7" w:rsidRPr="00FE465F">
              <w:t>Sistemista (configurazione monitoraggio)</w:t>
            </w:r>
            <w:r w:rsidR="0043116D" w:rsidRPr="00FE465F">
              <w:t>”</w:t>
            </w:r>
            <w:r w:rsidR="0003306E" w:rsidRPr="00FE465F">
              <w:t>)</w:t>
            </w:r>
            <w:r w:rsidRPr="00FE465F">
              <w:t>;</w:t>
            </w:r>
          </w:p>
          <w:p w14:paraId="7E609340" w14:textId="22088FE5" w:rsidR="005B2D4E" w:rsidRPr="00FE465F" w:rsidRDefault="005B2D4E" w:rsidP="00634F00">
            <w:pPr>
              <w:pStyle w:val="Bulletpointdentrotabella"/>
            </w:pPr>
            <w:r w:rsidRPr="00FE465F">
              <w:lastRenderedPageBreak/>
              <w:t>Servic</w:t>
            </w:r>
            <w:r w:rsidR="0003306E" w:rsidRPr="00FE465F">
              <w:t>e Monitoring per la s</w:t>
            </w:r>
            <w:r w:rsidRPr="00FE465F">
              <w:t xml:space="preserve">oluzione </w:t>
            </w:r>
            <w:r w:rsidR="0003306E" w:rsidRPr="00FE465F">
              <w:t xml:space="preserve">di </w:t>
            </w:r>
            <w:r w:rsidRPr="00FE465F">
              <w:t>ServiceNow ITOM quale Implementation Specialist – Event Management e Implementation Specialist -  Service Mapping</w:t>
            </w:r>
            <w:r w:rsidR="0003306E" w:rsidRPr="00FE465F">
              <w:t xml:space="preserve"> (</w:t>
            </w:r>
            <w:r w:rsidR="0060058E" w:rsidRPr="00FE465F">
              <w:t>il presente requisito minimo dovrà essere rispettato da almeno il 20% della totalità del personale messo a disposizione dal fornitore per i profili professionali di “Sistemista Senior (progettazione)” e “Sistemista (configurazione monitoraggio)”</w:t>
            </w:r>
            <w:r w:rsidR="0003306E" w:rsidRPr="00FE465F">
              <w:t>);</w:t>
            </w:r>
          </w:p>
          <w:p w14:paraId="59FE0100" w14:textId="77777777" w:rsidR="009C6ABC" w:rsidRPr="00FE465F" w:rsidRDefault="0060058E" w:rsidP="0088572C">
            <w:pPr>
              <w:pStyle w:val="Bulletpointdentrotabella"/>
            </w:pPr>
            <w:r w:rsidRPr="00FE465F">
              <w:t>Certificazione in ambito IT Service Management quale ITIL 4 Foundation o superiore, oppure altra certificazione ITIL di livello analogo in caso di evoluzione del relativo percorso di certificazione.</w:t>
            </w:r>
          </w:p>
        </w:tc>
      </w:tr>
      <w:tr w:rsidR="00634F00" w:rsidRPr="008B7C75" w14:paraId="78D2F524" w14:textId="77777777" w:rsidTr="00751243">
        <w:tc>
          <w:tcPr>
            <w:tcW w:w="2051" w:type="dxa"/>
            <w:vAlign w:val="center"/>
          </w:tcPr>
          <w:p w14:paraId="4505EA1B" w14:textId="77777777" w:rsidR="009C6ABC" w:rsidRPr="009C6ABC" w:rsidRDefault="009C6ABC" w:rsidP="009C6ABC">
            <w:pPr>
              <w:ind w:left="0"/>
              <w:rPr>
                <w:sz w:val="16"/>
              </w:rPr>
            </w:pPr>
            <w:r w:rsidRPr="009C6ABC">
              <w:rPr>
                <w:sz w:val="16"/>
              </w:rPr>
              <w:lastRenderedPageBreak/>
              <w:t>Sistemista (configurazione monitoraggio)</w:t>
            </w:r>
          </w:p>
        </w:tc>
        <w:tc>
          <w:tcPr>
            <w:tcW w:w="1918" w:type="dxa"/>
            <w:vAlign w:val="center"/>
          </w:tcPr>
          <w:p w14:paraId="0EF2E4A8" w14:textId="77777777" w:rsidR="009C6ABC" w:rsidRPr="009C6ABC" w:rsidRDefault="009C6ABC" w:rsidP="009C6ABC">
            <w:pPr>
              <w:ind w:left="0"/>
              <w:rPr>
                <w:sz w:val="16"/>
              </w:rPr>
            </w:pPr>
            <w:r w:rsidRPr="009C6ABC">
              <w:rPr>
                <w:sz w:val="16"/>
              </w:rPr>
              <w:t>Membro dei team sistemistici della Service Control Room per la configurazione e manutenzione dei modelli di servizio/applicazione</w:t>
            </w:r>
          </w:p>
          <w:p w14:paraId="173AAD9E" w14:textId="77777777" w:rsidR="009C6ABC" w:rsidRPr="009C6ABC" w:rsidRDefault="009C6ABC" w:rsidP="009C6ABC">
            <w:pPr>
              <w:ind w:left="0"/>
              <w:rPr>
                <w:sz w:val="16"/>
              </w:rPr>
            </w:pPr>
            <w:r w:rsidRPr="009C6ABC">
              <w:rPr>
                <w:sz w:val="16"/>
              </w:rPr>
              <w:t>oppure</w:t>
            </w:r>
          </w:p>
          <w:p w14:paraId="41233CCC" w14:textId="77777777" w:rsidR="009C6ABC" w:rsidRPr="008B7C75" w:rsidRDefault="009C6ABC" w:rsidP="009C6ABC">
            <w:pPr>
              <w:ind w:left="0"/>
              <w:rPr>
                <w:sz w:val="16"/>
              </w:rPr>
            </w:pPr>
            <w:r w:rsidRPr="009C6ABC">
              <w:rPr>
                <w:sz w:val="16"/>
              </w:rPr>
              <w:t>Supporto specialistico per la progettazione in ambito monitoraggio</w:t>
            </w:r>
          </w:p>
        </w:tc>
        <w:tc>
          <w:tcPr>
            <w:tcW w:w="1418" w:type="dxa"/>
            <w:vAlign w:val="center"/>
          </w:tcPr>
          <w:p w14:paraId="7FE03300" w14:textId="77777777" w:rsidR="009C6ABC" w:rsidRPr="008B7C75" w:rsidRDefault="0003306E" w:rsidP="009C6ABC">
            <w:pPr>
              <w:ind w:left="0"/>
              <w:rPr>
                <w:sz w:val="16"/>
              </w:rPr>
            </w:pPr>
            <w:r>
              <w:rPr>
                <w:sz w:val="16"/>
              </w:rPr>
              <w:t>5</w:t>
            </w:r>
            <w:r w:rsidR="009C6ABC">
              <w:rPr>
                <w:sz w:val="16"/>
              </w:rPr>
              <w:t xml:space="preserve"> anni</w:t>
            </w:r>
          </w:p>
        </w:tc>
        <w:tc>
          <w:tcPr>
            <w:tcW w:w="4536" w:type="dxa"/>
            <w:vAlign w:val="center"/>
          </w:tcPr>
          <w:p w14:paraId="57117F7C" w14:textId="77777777" w:rsidR="0060058E" w:rsidRPr="005B2D4E" w:rsidRDefault="0060058E" w:rsidP="0060058E">
            <w:pPr>
              <w:ind w:left="0"/>
              <w:rPr>
                <w:sz w:val="16"/>
              </w:rPr>
            </w:pPr>
            <w:r w:rsidRPr="005B2D4E">
              <w:rPr>
                <w:sz w:val="16"/>
              </w:rPr>
              <w:t xml:space="preserve">Certificazione </w:t>
            </w:r>
            <w:r>
              <w:rPr>
                <w:sz w:val="16"/>
              </w:rPr>
              <w:t xml:space="preserve">nei </w:t>
            </w:r>
            <w:r w:rsidRPr="005B2D4E">
              <w:rPr>
                <w:sz w:val="16"/>
              </w:rPr>
              <w:t>seguenti ambiti:</w:t>
            </w:r>
          </w:p>
          <w:p w14:paraId="555494E2" w14:textId="1D347D41" w:rsidR="0060058E" w:rsidRPr="005B2D4E" w:rsidRDefault="0060058E" w:rsidP="0060058E">
            <w:pPr>
              <w:pStyle w:val="Bulletpointdentrotabella"/>
            </w:pPr>
            <w:r w:rsidRPr="005B2D4E">
              <w:t>IT Monitoring quale Dynatrace Professional</w:t>
            </w:r>
            <w:r>
              <w:t xml:space="preserve"> </w:t>
            </w:r>
            <w:r w:rsidRPr="005340C1">
              <w:t>o</w:t>
            </w:r>
            <w:r w:rsidRPr="005B2D4E">
              <w:t xml:space="preserve"> superiore</w:t>
            </w:r>
            <w:r>
              <w:t xml:space="preserve"> (il presente requisito minimo dovrà essere rispettato da almeno il </w:t>
            </w:r>
            <w:r w:rsidR="00B278B9">
              <w:t>5</w:t>
            </w:r>
            <w:r>
              <w:t>0% della totalità del personale messo a disposizione dal fornitore per i profili professionali di “</w:t>
            </w:r>
            <w:r w:rsidRPr="009C6ABC">
              <w:t>Sistemista Senior (</w:t>
            </w:r>
            <w:r>
              <w:t>progettazione</w:t>
            </w:r>
            <w:r w:rsidRPr="009C6ABC">
              <w:t>)</w:t>
            </w:r>
            <w:r>
              <w:t>” e “</w:t>
            </w:r>
            <w:r w:rsidRPr="004E71C7">
              <w:t>Sistemista (configurazione monitoraggio)</w:t>
            </w:r>
            <w:r>
              <w:t>”);</w:t>
            </w:r>
          </w:p>
          <w:p w14:paraId="28E07DF7" w14:textId="08797B6F" w:rsidR="0060058E" w:rsidRDefault="0060058E" w:rsidP="0060058E">
            <w:pPr>
              <w:pStyle w:val="Bulletpointdentrotabella"/>
            </w:pPr>
            <w:r w:rsidRPr="005B2D4E">
              <w:t>Servic</w:t>
            </w:r>
            <w:r>
              <w:t>e Monitoring per la s</w:t>
            </w:r>
            <w:r w:rsidRPr="005B2D4E">
              <w:t xml:space="preserve">oluzione </w:t>
            </w:r>
            <w:r>
              <w:t xml:space="preserve">di </w:t>
            </w:r>
            <w:r w:rsidRPr="005B2D4E">
              <w:t>ServiceNow ITOM quale Implementation Specialist – Event Management e</w:t>
            </w:r>
            <w:r>
              <w:t>/o</w:t>
            </w:r>
            <w:r w:rsidRPr="005B2D4E">
              <w:t xml:space="preserve"> Implementation</w:t>
            </w:r>
            <w:r>
              <w:t xml:space="preserve"> </w:t>
            </w:r>
            <w:r w:rsidRPr="005B2D4E">
              <w:t>Specialist</w:t>
            </w:r>
            <w:r>
              <w:t xml:space="preserve"> - </w:t>
            </w:r>
            <w:r w:rsidRPr="005B2D4E">
              <w:t xml:space="preserve"> Service</w:t>
            </w:r>
            <w:r>
              <w:t xml:space="preserve"> </w:t>
            </w:r>
            <w:r w:rsidRPr="005B2D4E">
              <w:t>Mapping</w:t>
            </w:r>
            <w:r>
              <w:t xml:space="preserve"> (il presente requisito minimo dovrà essere rispettato da almeno il </w:t>
            </w:r>
            <w:r w:rsidR="00B278B9">
              <w:t>2</w:t>
            </w:r>
            <w:r>
              <w:t>0% della totalità del personale messo a disposizione dal fornitore per i profili professionali di “</w:t>
            </w:r>
            <w:r w:rsidRPr="009C6ABC">
              <w:t>Sistemista Senior (</w:t>
            </w:r>
            <w:r>
              <w:t>progettazione</w:t>
            </w:r>
            <w:r w:rsidRPr="009C6ABC">
              <w:t>)</w:t>
            </w:r>
            <w:r>
              <w:t>” e “</w:t>
            </w:r>
            <w:r w:rsidRPr="004E71C7">
              <w:t>Sistemista (configurazione monitoraggio)</w:t>
            </w:r>
            <w:r>
              <w:t>”);</w:t>
            </w:r>
          </w:p>
          <w:p w14:paraId="474D3ABB" w14:textId="77777777" w:rsidR="009C6ABC" w:rsidRPr="008B7C75" w:rsidRDefault="0060058E" w:rsidP="0088572C">
            <w:pPr>
              <w:pStyle w:val="Bulletpointdentrotabella"/>
            </w:pPr>
            <w:r w:rsidRPr="0088572C">
              <w:t>Cer</w:t>
            </w:r>
            <w:bookmarkStart w:id="0" w:name="_GoBack"/>
            <w:bookmarkEnd w:id="0"/>
            <w:r w:rsidRPr="0088572C">
              <w:t>tificazione in ambito IT Service Management quale ITIL 4 Foundation o superiore, oppure altra certificazione ITIL di livello analogo in caso di evoluzione del relativo percorso di certificazione</w:t>
            </w:r>
            <w:r>
              <w:t>.</w:t>
            </w:r>
          </w:p>
        </w:tc>
      </w:tr>
      <w:tr w:rsidR="00634F00" w:rsidRPr="008B7C75" w14:paraId="7A0D444C" w14:textId="77777777" w:rsidTr="00751243">
        <w:tc>
          <w:tcPr>
            <w:tcW w:w="2051" w:type="dxa"/>
            <w:vAlign w:val="center"/>
          </w:tcPr>
          <w:p w14:paraId="501364C8" w14:textId="77777777" w:rsidR="009C6ABC" w:rsidRPr="009C6ABC" w:rsidRDefault="009C6ABC" w:rsidP="009C6ABC">
            <w:pPr>
              <w:ind w:left="0"/>
              <w:rPr>
                <w:sz w:val="16"/>
              </w:rPr>
            </w:pPr>
            <w:r w:rsidRPr="009C6ABC">
              <w:rPr>
                <w:sz w:val="16"/>
              </w:rPr>
              <w:t>Sistemista Senior (SLA Management)</w:t>
            </w:r>
          </w:p>
        </w:tc>
        <w:tc>
          <w:tcPr>
            <w:tcW w:w="1918" w:type="dxa"/>
            <w:vAlign w:val="center"/>
          </w:tcPr>
          <w:p w14:paraId="130E2C7E" w14:textId="77777777" w:rsidR="009C6ABC" w:rsidRPr="008B7C75" w:rsidRDefault="009C6ABC" w:rsidP="009C6ABC">
            <w:pPr>
              <w:ind w:left="0"/>
              <w:rPr>
                <w:sz w:val="16"/>
              </w:rPr>
            </w:pPr>
            <w:r w:rsidRPr="009C6ABC">
              <w:rPr>
                <w:sz w:val="16"/>
              </w:rPr>
              <w:t>Supporto specialistico in ambito Service Level Management</w:t>
            </w:r>
          </w:p>
        </w:tc>
        <w:tc>
          <w:tcPr>
            <w:tcW w:w="1418" w:type="dxa"/>
            <w:vAlign w:val="center"/>
          </w:tcPr>
          <w:p w14:paraId="21CD9D77" w14:textId="77777777" w:rsidR="009C6ABC" w:rsidRPr="008B7C75" w:rsidRDefault="00AA2855" w:rsidP="009C6ABC">
            <w:pPr>
              <w:ind w:left="0"/>
              <w:rPr>
                <w:sz w:val="16"/>
              </w:rPr>
            </w:pPr>
            <w:r>
              <w:rPr>
                <w:sz w:val="16"/>
              </w:rPr>
              <w:t>5</w:t>
            </w:r>
            <w:r w:rsidR="009C6ABC">
              <w:rPr>
                <w:sz w:val="16"/>
              </w:rPr>
              <w:t xml:space="preserve"> anni</w:t>
            </w:r>
          </w:p>
        </w:tc>
        <w:tc>
          <w:tcPr>
            <w:tcW w:w="4536" w:type="dxa"/>
            <w:vAlign w:val="center"/>
          </w:tcPr>
          <w:p w14:paraId="681EA0D7" w14:textId="77777777" w:rsidR="009C6ABC" w:rsidRPr="008B7C75" w:rsidRDefault="00AA2855" w:rsidP="009C6ABC">
            <w:pPr>
              <w:ind w:left="0"/>
              <w:rPr>
                <w:sz w:val="16"/>
              </w:rPr>
            </w:pPr>
            <w:r w:rsidRPr="00AA2855">
              <w:rPr>
                <w:sz w:val="16"/>
              </w:rPr>
              <w:t>Certificazione IT Service Management quale ITIL 4 Managing Professional o superiore, oppure altra certificazione ITIL di livello analogo in caso di evoluzione del relativo percorso di certificazione</w:t>
            </w:r>
            <w:r>
              <w:rPr>
                <w:sz w:val="16"/>
              </w:rPr>
              <w:t>.</w:t>
            </w:r>
          </w:p>
        </w:tc>
      </w:tr>
      <w:tr w:rsidR="00634F00" w:rsidRPr="008B7C75" w14:paraId="4F6E55BB" w14:textId="77777777" w:rsidTr="00751243">
        <w:tc>
          <w:tcPr>
            <w:tcW w:w="2051" w:type="dxa"/>
            <w:vAlign w:val="center"/>
          </w:tcPr>
          <w:p w14:paraId="6A0222E6" w14:textId="77777777" w:rsidR="009C6ABC" w:rsidRPr="009C6ABC" w:rsidRDefault="009C6ABC" w:rsidP="009C6ABC">
            <w:pPr>
              <w:ind w:left="0"/>
              <w:rPr>
                <w:sz w:val="16"/>
              </w:rPr>
            </w:pPr>
            <w:r w:rsidRPr="009C6ABC">
              <w:rPr>
                <w:sz w:val="16"/>
              </w:rPr>
              <w:t>Specialista di prodotto (SLA Management)</w:t>
            </w:r>
          </w:p>
        </w:tc>
        <w:tc>
          <w:tcPr>
            <w:tcW w:w="1918" w:type="dxa"/>
            <w:vAlign w:val="center"/>
          </w:tcPr>
          <w:p w14:paraId="6F01C52B" w14:textId="77777777" w:rsidR="009C6ABC" w:rsidRPr="008B7C75" w:rsidRDefault="009C6ABC" w:rsidP="009C6ABC">
            <w:pPr>
              <w:ind w:left="0"/>
              <w:rPr>
                <w:sz w:val="16"/>
              </w:rPr>
            </w:pPr>
            <w:r w:rsidRPr="009C6ABC">
              <w:rPr>
                <w:sz w:val="16"/>
              </w:rPr>
              <w:t>Supporto specialistico in ambito Service Level Management</w:t>
            </w:r>
          </w:p>
        </w:tc>
        <w:tc>
          <w:tcPr>
            <w:tcW w:w="1418" w:type="dxa"/>
            <w:vAlign w:val="center"/>
          </w:tcPr>
          <w:p w14:paraId="31F5E6E0" w14:textId="77777777" w:rsidR="009C6ABC" w:rsidRPr="008B7C75" w:rsidRDefault="009C6ABC" w:rsidP="009C6ABC">
            <w:pPr>
              <w:ind w:left="0"/>
              <w:rPr>
                <w:sz w:val="16"/>
              </w:rPr>
            </w:pPr>
            <w:r>
              <w:rPr>
                <w:sz w:val="16"/>
              </w:rPr>
              <w:t>5 anni</w:t>
            </w:r>
          </w:p>
        </w:tc>
        <w:tc>
          <w:tcPr>
            <w:tcW w:w="4536" w:type="dxa"/>
            <w:vAlign w:val="center"/>
          </w:tcPr>
          <w:p w14:paraId="41A6FAB6" w14:textId="77777777" w:rsidR="00AA2855" w:rsidRPr="00AA2855" w:rsidRDefault="00AA2855" w:rsidP="00AA2855">
            <w:pPr>
              <w:ind w:left="0"/>
              <w:rPr>
                <w:sz w:val="16"/>
              </w:rPr>
            </w:pPr>
            <w:r>
              <w:rPr>
                <w:sz w:val="16"/>
              </w:rPr>
              <w:t>Certificazioni in almeno uno de</w:t>
            </w:r>
            <w:r w:rsidRPr="00AA2855">
              <w:rPr>
                <w:sz w:val="16"/>
              </w:rPr>
              <w:t>i seguenti ambiti:</w:t>
            </w:r>
          </w:p>
          <w:p w14:paraId="3DED0211" w14:textId="77777777" w:rsidR="00AA2855" w:rsidRPr="00AA2855" w:rsidRDefault="00AA2855" w:rsidP="00634F00">
            <w:pPr>
              <w:pStyle w:val="Bulletpointdentrotabella"/>
            </w:pPr>
            <w:r w:rsidRPr="00AA2855">
              <w:t>IT Service Management quale ITIL 4 Foundation o superiore, oppure altra certificazione ITIL di livello analogo in caso di evoluzione del rela</w:t>
            </w:r>
            <w:r>
              <w:t>tivo percorso di certificazione;</w:t>
            </w:r>
          </w:p>
          <w:p w14:paraId="487519DF" w14:textId="77777777" w:rsidR="009C6ABC" w:rsidRPr="00751243" w:rsidRDefault="00AA2855" w:rsidP="00751243">
            <w:pPr>
              <w:pStyle w:val="Bulletpointdentrotabella"/>
            </w:pPr>
            <w:r>
              <w:t>P</w:t>
            </w:r>
            <w:r w:rsidRPr="00AA2855">
              <w:t xml:space="preserve">roject </w:t>
            </w:r>
            <w:r>
              <w:t>M</w:t>
            </w:r>
            <w:r w:rsidRPr="00AA2855">
              <w:t xml:space="preserve">anagement quale PRINCE2 foundation, oppure PMI CAPM, oppure ISIPM base, oppure IPMA project manager </w:t>
            </w:r>
            <w:r w:rsidRPr="00AA2855">
              <w:lastRenderedPageBreak/>
              <w:t>(level D), oppure altra certificazione di livello equivalente o superiore</w:t>
            </w:r>
          </w:p>
        </w:tc>
      </w:tr>
      <w:tr w:rsidR="00634F00" w:rsidRPr="008B7C75" w14:paraId="2259AB85" w14:textId="77777777" w:rsidTr="00751243">
        <w:tc>
          <w:tcPr>
            <w:tcW w:w="2051" w:type="dxa"/>
            <w:vAlign w:val="center"/>
          </w:tcPr>
          <w:p w14:paraId="56DBB8FB" w14:textId="77777777" w:rsidR="009C6ABC" w:rsidRPr="009C6ABC" w:rsidRDefault="009C6ABC" w:rsidP="009C6ABC">
            <w:pPr>
              <w:ind w:left="0"/>
              <w:rPr>
                <w:sz w:val="16"/>
              </w:rPr>
            </w:pPr>
            <w:r w:rsidRPr="009C6ABC">
              <w:rPr>
                <w:sz w:val="16"/>
              </w:rPr>
              <w:lastRenderedPageBreak/>
              <w:t>Sistemista Senior (governo operazioni)</w:t>
            </w:r>
          </w:p>
        </w:tc>
        <w:tc>
          <w:tcPr>
            <w:tcW w:w="1918" w:type="dxa"/>
            <w:vAlign w:val="center"/>
          </w:tcPr>
          <w:p w14:paraId="46544B0D" w14:textId="77777777" w:rsidR="009C6ABC" w:rsidRPr="008B7C75" w:rsidRDefault="009C6ABC" w:rsidP="009C6ABC">
            <w:pPr>
              <w:ind w:left="0"/>
              <w:rPr>
                <w:sz w:val="16"/>
              </w:rPr>
            </w:pPr>
            <w:r w:rsidRPr="009C6ABC">
              <w:rPr>
                <w:sz w:val="16"/>
              </w:rPr>
              <w:t>Supporto specialistico per il governo delle operazioni</w:t>
            </w:r>
          </w:p>
        </w:tc>
        <w:tc>
          <w:tcPr>
            <w:tcW w:w="1418" w:type="dxa"/>
            <w:vAlign w:val="center"/>
          </w:tcPr>
          <w:p w14:paraId="2AD011B5" w14:textId="77777777" w:rsidR="009C6ABC" w:rsidRPr="008B7C75" w:rsidRDefault="009C6ABC" w:rsidP="009C6ABC">
            <w:pPr>
              <w:ind w:left="0"/>
              <w:rPr>
                <w:sz w:val="16"/>
              </w:rPr>
            </w:pPr>
            <w:r>
              <w:rPr>
                <w:sz w:val="16"/>
              </w:rPr>
              <w:t>5 anni</w:t>
            </w:r>
          </w:p>
        </w:tc>
        <w:tc>
          <w:tcPr>
            <w:tcW w:w="4536" w:type="dxa"/>
            <w:vAlign w:val="center"/>
          </w:tcPr>
          <w:p w14:paraId="0B441A62" w14:textId="4ACFEA22" w:rsidR="00A5729A" w:rsidRPr="00A5729A" w:rsidRDefault="00A5729A" w:rsidP="00A5729A">
            <w:pPr>
              <w:ind w:left="0"/>
              <w:rPr>
                <w:sz w:val="16"/>
              </w:rPr>
            </w:pPr>
            <w:r w:rsidRPr="00A5729A">
              <w:rPr>
                <w:sz w:val="16"/>
              </w:rPr>
              <w:t xml:space="preserve">Certificazioni </w:t>
            </w:r>
            <w:r w:rsidR="003130FF">
              <w:rPr>
                <w:sz w:val="16"/>
              </w:rPr>
              <w:t>nei</w:t>
            </w:r>
            <w:r w:rsidRPr="00A5729A">
              <w:rPr>
                <w:sz w:val="16"/>
              </w:rPr>
              <w:t xml:space="preserve"> seguenti ambiti:</w:t>
            </w:r>
          </w:p>
          <w:p w14:paraId="4EB4DBF8" w14:textId="77777777" w:rsidR="00A5729A" w:rsidRPr="00A5729A" w:rsidRDefault="00A5729A" w:rsidP="00634F00">
            <w:pPr>
              <w:pStyle w:val="Bulletpointdentrotabella"/>
            </w:pPr>
            <w:r w:rsidRPr="00A5729A">
              <w:t xml:space="preserve">IT Service Management quale ITIL 4 Foundation o superiore, oppure altra certificazione ITIL di livello analogo in caso di evoluzione del relativo percorso di certificazione </w:t>
            </w:r>
          </w:p>
          <w:p w14:paraId="0B67A60B" w14:textId="77777777" w:rsidR="009C6ABC" w:rsidRPr="00751243" w:rsidRDefault="00A5729A" w:rsidP="00751243">
            <w:pPr>
              <w:pStyle w:val="Bulletpointdentrotabella"/>
            </w:pPr>
            <w:r>
              <w:t>P</w:t>
            </w:r>
            <w:r w:rsidRPr="00A5729A">
              <w:t xml:space="preserve">roject </w:t>
            </w:r>
            <w:r>
              <w:t>M</w:t>
            </w:r>
            <w:r w:rsidRPr="00A5729A">
              <w:t>anagement quale PRINCE2 foundation, oppure PMI CAPM, oppure ISIPM base, oppure IPMA project manager (level D), oppure altra certificazione di livello equivalente o superiore</w:t>
            </w:r>
          </w:p>
        </w:tc>
      </w:tr>
      <w:tr w:rsidR="00634F00" w:rsidRPr="008B7C75" w14:paraId="370E2512" w14:textId="77777777" w:rsidTr="00751243">
        <w:tc>
          <w:tcPr>
            <w:tcW w:w="2051" w:type="dxa"/>
            <w:vAlign w:val="center"/>
          </w:tcPr>
          <w:p w14:paraId="6515D7A5" w14:textId="77777777" w:rsidR="009C6ABC" w:rsidRPr="009C6ABC" w:rsidRDefault="009C6ABC" w:rsidP="009C6ABC">
            <w:pPr>
              <w:ind w:left="0"/>
              <w:rPr>
                <w:sz w:val="16"/>
              </w:rPr>
            </w:pPr>
            <w:r w:rsidRPr="009C6ABC">
              <w:rPr>
                <w:sz w:val="16"/>
              </w:rPr>
              <w:t>Sistemista (governo operazioni)</w:t>
            </w:r>
          </w:p>
        </w:tc>
        <w:tc>
          <w:tcPr>
            <w:tcW w:w="1918" w:type="dxa"/>
            <w:vAlign w:val="center"/>
          </w:tcPr>
          <w:p w14:paraId="11FEB5FA" w14:textId="77777777" w:rsidR="009C6ABC" w:rsidRPr="008B7C75" w:rsidRDefault="009C6ABC" w:rsidP="009C6ABC">
            <w:pPr>
              <w:ind w:left="0"/>
              <w:rPr>
                <w:sz w:val="16"/>
              </w:rPr>
            </w:pPr>
            <w:r w:rsidRPr="009C6ABC">
              <w:rPr>
                <w:sz w:val="16"/>
              </w:rPr>
              <w:t>Supporto specialistico per il governo delle operazioni</w:t>
            </w:r>
          </w:p>
        </w:tc>
        <w:tc>
          <w:tcPr>
            <w:tcW w:w="1418" w:type="dxa"/>
            <w:vAlign w:val="center"/>
          </w:tcPr>
          <w:p w14:paraId="7397F3E9" w14:textId="77777777" w:rsidR="009C6ABC" w:rsidRPr="008B7C75" w:rsidRDefault="00A5729A" w:rsidP="009C6ABC">
            <w:pPr>
              <w:ind w:left="0"/>
              <w:rPr>
                <w:sz w:val="16"/>
              </w:rPr>
            </w:pPr>
            <w:r>
              <w:rPr>
                <w:sz w:val="16"/>
              </w:rPr>
              <w:t xml:space="preserve">5 </w:t>
            </w:r>
            <w:r w:rsidR="009C6ABC">
              <w:rPr>
                <w:sz w:val="16"/>
              </w:rPr>
              <w:t>anni</w:t>
            </w:r>
          </w:p>
        </w:tc>
        <w:tc>
          <w:tcPr>
            <w:tcW w:w="4536" w:type="dxa"/>
            <w:vAlign w:val="center"/>
          </w:tcPr>
          <w:p w14:paraId="27752569" w14:textId="77777777" w:rsidR="00A5729A" w:rsidRPr="00A5729A" w:rsidRDefault="00A5729A" w:rsidP="00A5729A">
            <w:pPr>
              <w:ind w:left="0"/>
              <w:rPr>
                <w:sz w:val="16"/>
              </w:rPr>
            </w:pPr>
            <w:r w:rsidRPr="00A5729A">
              <w:rPr>
                <w:sz w:val="16"/>
              </w:rPr>
              <w:t>Certificazioni in almeno uno dei seguenti ambiti:</w:t>
            </w:r>
          </w:p>
          <w:p w14:paraId="5428F90C" w14:textId="77777777" w:rsidR="00A5729A" w:rsidRPr="00A5729A" w:rsidRDefault="00A5729A" w:rsidP="00634F00">
            <w:pPr>
              <w:pStyle w:val="Bulletpointdentrotabella"/>
            </w:pPr>
            <w:r w:rsidRPr="00A5729A">
              <w:t>IT Service Management quale ITIL 4 Foundation o superiore, oppure altra certificazione ITIL di livello analogo in caso di evoluzione del rela</w:t>
            </w:r>
            <w:r>
              <w:t>tivo percorso di certificazione;</w:t>
            </w:r>
          </w:p>
          <w:p w14:paraId="42E71B46" w14:textId="77777777" w:rsidR="009C6ABC" w:rsidRPr="00751243" w:rsidRDefault="00A5729A" w:rsidP="00751243">
            <w:pPr>
              <w:pStyle w:val="Bulletpointdentrotabella"/>
            </w:pPr>
            <w:r>
              <w:t>P</w:t>
            </w:r>
            <w:r w:rsidRPr="00A5729A">
              <w:t xml:space="preserve">roject </w:t>
            </w:r>
            <w:r>
              <w:t>M</w:t>
            </w:r>
            <w:r w:rsidRPr="00A5729A">
              <w:t>anagement quale PRINCE2 foundation, oppure PMI CAPM, oppure ISIPM base, oppure IPMA project manager (level D), oppure altra certificazione di livello equivalente o superiore</w:t>
            </w:r>
            <w:r>
              <w:t>.</w:t>
            </w:r>
          </w:p>
        </w:tc>
      </w:tr>
      <w:tr w:rsidR="00634F00" w:rsidRPr="008B7C75" w14:paraId="3A6DCD4C" w14:textId="77777777" w:rsidTr="00751243">
        <w:tc>
          <w:tcPr>
            <w:tcW w:w="2051" w:type="dxa"/>
            <w:vAlign w:val="center"/>
          </w:tcPr>
          <w:p w14:paraId="34B0F8CF" w14:textId="77777777" w:rsidR="009C6ABC" w:rsidRPr="009C6ABC" w:rsidRDefault="009C6ABC" w:rsidP="009C6ABC">
            <w:pPr>
              <w:ind w:left="0"/>
              <w:rPr>
                <w:sz w:val="16"/>
              </w:rPr>
            </w:pPr>
            <w:r w:rsidRPr="009C6ABC">
              <w:rPr>
                <w:sz w:val="16"/>
              </w:rPr>
              <w:t>Esperto di processi (governo operazioni)</w:t>
            </w:r>
          </w:p>
        </w:tc>
        <w:tc>
          <w:tcPr>
            <w:tcW w:w="1918" w:type="dxa"/>
            <w:vAlign w:val="center"/>
          </w:tcPr>
          <w:p w14:paraId="0445EBCE" w14:textId="77777777" w:rsidR="009C6ABC" w:rsidRPr="008B7C75" w:rsidRDefault="009C6ABC" w:rsidP="009C6ABC">
            <w:pPr>
              <w:ind w:left="0"/>
              <w:rPr>
                <w:sz w:val="16"/>
              </w:rPr>
            </w:pPr>
            <w:r w:rsidRPr="009C6ABC">
              <w:rPr>
                <w:sz w:val="16"/>
              </w:rPr>
              <w:t>Supporto specialistico per il governo delle operazioni</w:t>
            </w:r>
          </w:p>
        </w:tc>
        <w:tc>
          <w:tcPr>
            <w:tcW w:w="1418" w:type="dxa"/>
            <w:vAlign w:val="center"/>
          </w:tcPr>
          <w:p w14:paraId="0973DFB5" w14:textId="77777777" w:rsidR="009C6ABC" w:rsidRPr="008B7C75" w:rsidRDefault="009C6ABC" w:rsidP="009C6ABC">
            <w:pPr>
              <w:ind w:left="0"/>
              <w:rPr>
                <w:sz w:val="16"/>
              </w:rPr>
            </w:pPr>
            <w:r>
              <w:rPr>
                <w:sz w:val="16"/>
              </w:rPr>
              <w:t>5 anni</w:t>
            </w:r>
          </w:p>
        </w:tc>
        <w:tc>
          <w:tcPr>
            <w:tcW w:w="4536" w:type="dxa"/>
            <w:vAlign w:val="center"/>
          </w:tcPr>
          <w:p w14:paraId="3D59DA20" w14:textId="77777777" w:rsidR="00A5729A" w:rsidRPr="00A5729A" w:rsidRDefault="00A5729A" w:rsidP="00A5729A">
            <w:pPr>
              <w:ind w:left="0"/>
              <w:rPr>
                <w:sz w:val="16"/>
              </w:rPr>
            </w:pPr>
            <w:r w:rsidRPr="00A5729A">
              <w:rPr>
                <w:sz w:val="16"/>
              </w:rPr>
              <w:t>Certificazione in almeno uno dei seguenti ambiti:</w:t>
            </w:r>
          </w:p>
          <w:p w14:paraId="3B11E062" w14:textId="77777777" w:rsidR="00A5729A" w:rsidRPr="00A5729A" w:rsidRDefault="00A5729A" w:rsidP="00634F00">
            <w:pPr>
              <w:pStyle w:val="Bulletpointdentrotabella"/>
            </w:pPr>
            <w:r w:rsidRPr="00A5729A">
              <w:t>IT Service Management quale ITIL 4 Foundation</w:t>
            </w:r>
            <w:r>
              <w:t xml:space="preserve"> o</w:t>
            </w:r>
            <w:r w:rsidRPr="00A5729A">
              <w:t xml:space="preserve"> superiore, oppure altra certificazione ITIL di livello analogo in caso di evoluzione del rela</w:t>
            </w:r>
            <w:r>
              <w:t>tivo percorso di certificazione;</w:t>
            </w:r>
          </w:p>
          <w:p w14:paraId="37D9D283" w14:textId="77777777" w:rsidR="009C6ABC" w:rsidRPr="00751243" w:rsidRDefault="00A5729A" w:rsidP="00751243">
            <w:pPr>
              <w:pStyle w:val="Bulletpointdentrotabella"/>
            </w:pPr>
            <w:r w:rsidRPr="00A5729A">
              <w:t>Project Management quale Agile PM Foundation oppure altra certificazione di livello analogo in caso di evoluzione del relativo percorso di certificazione</w:t>
            </w:r>
            <w:r>
              <w:t>.</w:t>
            </w:r>
          </w:p>
        </w:tc>
      </w:tr>
      <w:tr w:rsidR="00634F00" w:rsidRPr="008B7C75" w14:paraId="62B0D4F6" w14:textId="77777777" w:rsidTr="00751243">
        <w:tc>
          <w:tcPr>
            <w:tcW w:w="2051" w:type="dxa"/>
            <w:vAlign w:val="center"/>
          </w:tcPr>
          <w:p w14:paraId="2169B10E" w14:textId="77777777" w:rsidR="009C6ABC" w:rsidRPr="009C6ABC" w:rsidRDefault="009C6ABC" w:rsidP="009C6ABC">
            <w:pPr>
              <w:ind w:left="0"/>
              <w:rPr>
                <w:sz w:val="16"/>
              </w:rPr>
            </w:pPr>
            <w:r w:rsidRPr="009C6ABC">
              <w:rPr>
                <w:sz w:val="16"/>
              </w:rPr>
              <w:t>Operatore</w:t>
            </w:r>
          </w:p>
        </w:tc>
        <w:tc>
          <w:tcPr>
            <w:tcW w:w="1918" w:type="dxa"/>
            <w:vAlign w:val="center"/>
          </w:tcPr>
          <w:p w14:paraId="6EBA34C2" w14:textId="77777777" w:rsidR="009C6ABC" w:rsidRPr="008B7C75" w:rsidRDefault="009C2FF3" w:rsidP="009C6ABC">
            <w:pPr>
              <w:ind w:left="0"/>
              <w:rPr>
                <w:sz w:val="16"/>
              </w:rPr>
            </w:pPr>
            <w:r w:rsidRPr="009C2FF3">
              <w:rPr>
                <w:sz w:val="16"/>
              </w:rPr>
              <w:t>Membro del team di monitoraggio della Service Control Room</w:t>
            </w:r>
          </w:p>
        </w:tc>
        <w:tc>
          <w:tcPr>
            <w:tcW w:w="1418" w:type="dxa"/>
            <w:vAlign w:val="center"/>
          </w:tcPr>
          <w:p w14:paraId="7886EC09" w14:textId="77777777" w:rsidR="009C6ABC" w:rsidRPr="008B7C75" w:rsidRDefault="009C2FF3" w:rsidP="009C6ABC">
            <w:pPr>
              <w:ind w:left="0"/>
              <w:rPr>
                <w:sz w:val="16"/>
              </w:rPr>
            </w:pPr>
            <w:r>
              <w:rPr>
                <w:sz w:val="16"/>
              </w:rPr>
              <w:t>1 anno</w:t>
            </w:r>
          </w:p>
        </w:tc>
        <w:tc>
          <w:tcPr>
            <w:tcW w:w="4536" w:type="dxa"/>
            <w:vAlign w:val="center"/>
          </w:tcPr>
          <w:p w14:paraId="6B1A1552" w14:textId="77777777" w:rsidR="009C6ABC" w:rsidRPr="008B7C75" w:rsidRDefault="007877B5" w:rsidP="009C6ABC">
            <w:pPr>
              <w:ind w:left="0"/>
              <w:rPr>
                <w:sz w:val="16"/>
              </w:rPr>
            </w:pPr>
            <w:r>
              <w:rPr>
                <w:sz w:val="16"/>
              </w:rPr>
              <w:t>N/A.</w:t>
            </w:r>
          </w:p>
        </w:tc>
      </w:tr>
    </w:tbl>
    <w:p w14:paraId="34E6CA0B" w14:textId="77777777" w:rsidR="00843764" w:rsidRDefault="00E33301" w:rsidP="00E33301">
      <w:pPr>
        <w:pStyle w:val="Didascalia"/>
        <w:jc w:val="center"/>
        <w:rPr>
          <w:i w:val="0"/>
          <w:color w:val="auto"/>
        </w:rPr>
      </w:pPr>
      <w:bookmarkStart w:id="1" w:name="_Ref157184392"/>
      <w:r w:rsidRPr="00E33301">
        <w:rPr>
          <w:i w:val="0"/>
          <w:color w:val="auto"/>
        </w:rPr>
        <w:t xml:space="preserve">Tabella </w:t>
      </w:r>
      <w:r w:rsidRPr="00E33301">
        <w:rPr>
          <w:i w:val="0"/>
          <w:color w:val="auto"/>
        </w:rPr>
        <w:fldChar w:fldCharType="begin"/>
      </w:r>
      <w:r w:rsidRPr="00E33301">
        <w:rPr>
          <w:i w:val="0"/>
          <w:color w:val="auto"/>
        </w:rPr>
        <w:instrText xml:space="preserve"> SEQ Tabella \* ARABIC </w:instrText>
      </w:r>
      <w:r w:rsidRPr="00E33301">
        <w:rPr>
          <w:i w:val="0"/>
          <w:color w:val="auto"/>
        </w:rPr>
        <w:fldChar w:fldCharType="separate"/>
      </w:r>
      <w:r w:rsidRPr="00E33301">
        <w:rPr>
          <w:i w:val="0"/>
          <w:noProof/>
          <w:color w:val="auto"/>
        </w:rPr>
        <w:t>1</w:t>
      </w:r>
      <w:r w:rsidRPr="00E33301">
        <w:rPr>
          <w:i w:val="0"/>
          <w:color w:val="auto"/>
        </w:rPr>
        <w:fldChar w:fldCharType="end"/>
      </w:r>
      <w:bookmarkEnd w:id="1"/>
      <w:r>
        <w:rPr>
          <w:i w:val="0"/>
          <w:color w:val="auto"/>
        </w:rPr>
        <w:t xml:space="preserve"> – Profili professionali</w:t>
      </w:r>
    </w:p>
    <w:p w14:paraId="14E1D852" w14:textId="77777777" w:rsidR="009E2F78" w:rsidRDefault="009E2F78" w:rsidP="009E2F78">
      <w:pPr>
        <w:rPr>
          <w:b/>
        </w:rPr>
      </w:pPr>
      <w:r>
        <w:rPr>
          <w:b/>
        </w:rPr>
        <w:t>Durata e dimensionamento economico</w:t>
      </w:r>
    </w:p>
    <w:p w14:paraId="373490D7" w14:textId="77777777" w:rsidR="00A03D37" w:rsidRDefault="00A03D37" w:rsidP="009E2F78">
      <w:r>
        <w:t xml:space="preserve">La durata del Contratto sarà di </w:t>
      </w:r>
      <w:r w:rsidR="009E2F78" w:rsidRPr="009E2F78">
        <w:t xml:space="preserve">48 mesi </w:t>
      </w:r>
      <w:r>
        <w:t xml:space="preserve">decorrenti </w:t>
      </w:r>
      <w:r w:rsidR="009E2F78" w:rsidRPr="009E2F78">
        <w:t>dalla data di stipula</w:t>
      </w:r>
      <w:r>
        <w:t>.</w:t>
      </w:r>
    </w:p>
    <w:p w14:paraId="76A553C8" w14:textId="77777777" w:rsidR="009E2F78" w:rsidRDefault="00A03D37" w:rsidP="009E2F78">
      <w:r>
        <w:t>Allo stato delle informazioni attualmente in possesso dalla Stazione appaltante, si stima</w:t>
      </w:r>
      <w:r w:rsidR="009E2F78" w:rsidRPr="009E2F78">
        <w:t xml:space="preserve"> che il dimensionamento economico sia </w:t>
      </w:r>
      <w:r>
        <w:t xml:space="preserve">di circa </w:t>
      </w:r>
      <w:r w:rsidR="009E2F78" w:rsidRPr="009E2F78">
        <w:t>15 milioni di Euro.</w:t>
      </w:r>
    </w:p>
    <w:p w14:paraId="3F8C0B07" w14:textId="77777777" w:rsidR="009E2F78" w:rsidRPr="009E2F78" w:rsidRDefault="009E2F78" w:rsidP="009E2F78"/>
    <w:p w14:paraId="7A8FF09E" w14:textId="77777777" w:rsidR="006C414B" w:rsidRPr="00A03D37" w:rsidRDefault="00843764" w:rsidP="00A6739B">
      <w:pPr>
        <w:pStyle w:val="Titolo1"/>
        <w:rPr>
          <w:sz w:val="18"/>
        </w:rPr>
      </w:pPr>
      <w:r w:rsidRPr="00A03D37">
        <w:rPr>
          <w:sz w:val="18"/>
        </w:rPr>
        <w:lastRenderedPageBreak/>
        <w:t>Domande</w:t>
      </w:r>
    </w:p>
    <w:p w14:paraId="7F0EDEDF" w14:textId="77777777" w:rsidR="0016201F" w:rsidRPr="00D96066" w:rsidRDefault="0016201F" w:rsidP="00A6739B">
      <w:pPr>
        <w:pStyle w:val="BodyText21"/>
        <w:numPr>
          <w:ilvl w:val="0"/>
          <w:numId w:val="5"/>
        </w:numPr>
      </w:pPr>
      <w:r w:rsidRPr="00D96066">
        <w:t xml:space="preserve">Indicare una breve descrizione </w:t>
      </w:r>
      <w:r w:rsidR="007F0F41">
        <w:t>della Vostra azienda</w:t>
      </w:r>
      <w:r w:rsidRPr="00D96066">
        <w:t xml:space="preserve"> (settori di attività, core business, quote di mercato, numero dei dipendenti n</w:t>
      </w:r>
      <w:r w:rsidR="00360025">
        <w:t>egli ultimi tre anni precedenti</w:t>
      </w:r>
      <w:r w:rsidRPr="00D96066">
        <w:t xml:space="preserve">). </w:t>
      </w:r>
    </w:p>
    <w:p w14:paraId="78890C6A" w14:textId="77777777" w:rsidR="0016201F" w:rsidRPr="00D96066" w:rsidRDefault="0016201F" w:rsidP="0016201F">
      <w:pPr>
        <w:pStyle w:val="Paragrafoelenco"/>
        <w:ind w:left="502"/>
        <w:rPr>
          <w:b/>
        </w:rPr>
      </w:pPr>
      <w:r w:rsidRPr="00D96066">
        <w:rPr>
          <w:b/>
        </w:rPr>
        <w:t>Risposta:</w:t>
      </w:r>
      <w:r w:rsidRPr="00D96066">
        <w:rPr>
          <w:b/>
          <w:i/>
          <w:szCs w:val="22"/>
        </w:rPr>
        <w:t xml:space="preserve"> </w:t>
      </w:r>
    </w:p>
    <w:p w14:paraId="3CAE4501" w14:textId="77777777" w:rsidR="0016201F" w:rsidRPr="00D96066" w:rsidRDefault="0016201F" w:rsidP="0016201F">
      <w:pPr>
        <w:pStyle w:val="Paragrafoelenco"/>
        <w:ind w:left="502"/>
      </w:pPr>
      <w:r w:rsidRPr="00D96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9A1301" w14:textId="77777777" w:rsidR="00360025" w:rsidRDefault="00360025" w:rsidP="00360025">
      <w:pPr>
        <w:pStyle w:val="Paragrafoelenco"/>
        <w:numPr>
          <w:ilvl w:val="0"/>
          <w:numId w:val="5"/>
        </w:numPr>
      </w:pPr>
      <w:r w:rsidRPr="00360025">
        <w:t xml:space="preserve">Indicare il contratto </w:t>
      </w:r>
      <w:r>
        <w:t xml:space="preserve">collettivo </w:t>
      </w:r>
      <w:r w:rsidRPr="00360025">
        <w:t xml:space="preserve">nazionale di lavoro applicato dalla Vostra </w:t>
      </w:r>
      <w:r>
        <w:t xml:space="preserve">azienda </w:t>
      </w:r>
      <w:r w:rsidRPr="00360025">
        <w:t>e</w:t>
      </w:r>
      <w:r>
        <w:t xml:space="preserve"> il relativo codice CNEL.</w:t>
      </w:r>
    </w:p>
    <w:p w14:paraId="25D7C676" w14:textId="77777777" w:rsidR="00360025" w:rsidRPr="00360025" w:rsidRDefault="00360025" w:rsidP="00360025">
      <w:pPr>
        <w:ind w:left="567"/>
        <w:rPr>
          <w:b/>
        </w:rPr>
      </w:pPr>
      <w:r w:rsidRPr="00360025">
        <w:rPr>
          <w:b/>
        </w:rPr>
        <w:t>Risposta:</w:t>
      </w:r>
      <w:r w:rsidRPr="00360025">
        <w:rPr>
          <w:b/>
          <w:i/>
          <w:color w:val="FF0000"/>
          <w:szCs w:val="22"/>
        </w:rPr>
        <w:t xml:space="preserve"> </w:t>
      </w:r>
    </w:p>
    <w:p w14:paraId="61E56013" w14:textId="77777777" w:rsidR="00360025" w:rsidRPr="00D96066" w:rsidRDefault="00360025" w:rsidP="00360025">
      <w:pPr>
        <w:ind w:left="567"/>
      </w:pPr>
      <w:r w:rsidRPr="00D96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A3B67C" w14:textId="77777777" w:rsidR="00887512" w:rsidRPr="00887512" w:rsidRDefault="00887512" w:rsidP="00887512">
      <w:pPr>
        <w:pStyle w:val="Paragrafoelenco"/>
        <w:numPr>
          <w:ilvl w:val="0"/>
          <w:numId w:val="5"/>
        </w:numPr>
      </w:pPr>
      <w:r w:rsidRPr="00887512">
        <w:t xml:space="preserve">Indicare l’eventuale appartenenza </w:t>
      </w:r>
      <w:r w:rsidR="007F0F41">
        <w:t>della Vostra azienda</w:t>
      </w:r>
      <w:r w:rsidRPr="00887512">
        <w:t xml:space="preserve"> alle PMI e</w:t>
      </w:r>
      <w:r>
        <w:t>/o</w:t>
      </w:r>
      <w:r w:rsidRPr="00887512">
        <w:t xml:space="preserve"> ad associazioni di categoria.</w:t>
      </w:r>
    </w:p>
    <w:p w14:paraId="1E9C7702" w14:textId="77777777" w:rsidR="00243653" w:rsidRPr="00606585" w:rsidRDefault="00243653" w:rsidP="00887512">
      <w:pPr>
        <w:ind w:left="567"/>
        <w:rPr>
          <w:b/>
        </w:rPr>
      </w:pPr>
      <w:r w:rsidRPr="00606585">
        <w:rPr>
          <w:b/>
        </w:rPr>
        <w:t>Risposta:</w:t>
      </w:r>
      <w:r w:rsidRPr="00606585">
        <w:rPr>
          <w:b/>
          <w:i/>
          <w:color w:val="FF0000"/>
          <w:szCs w:val="22"/>
        </w:rPr>
        <w:t xml:space="preserve"> </w:t>
      </w:r>
    </w:p>
    <w:p w14:paraId="738E57E6" w14:textId="77777777" w:rsidR="00887512" w:rsidRPr="00D96066" w:rsidRDefault="00887512" w:rsidP="00887512">
      <w:pPr>
        <w:ind w:left="567"/>
      </w:pPr>
      <w:r w:rsidRPr="00D96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CEFA08" w14:textId="77777777" w:rsidR="008431DC" w:rsidRPr="00D96066" w:rsidRDefault="00A16C85" w:rsidP="008431DC">
      <w:pPr>
        <w:pStyle w:val="Paragrafoelenco"/>
        <w:numPr>
          <w:ilvl w:val="0"/>
          <w:numId w:val="5"/>
        </w:numPr>
      </w:pPr>
      <w:r w:rsidRPr="00D96066">
        <w:t xml:space="preserve">Indicare il fatturato globale </w:t>
      </w:r>
      <w:r w:rsidR="007F0F41">
        <w:t xml:space="preserve">della Vostra </w:t>
      </w:r>
      <w:r w:rsidRPr="00D96066">
        <w:t>azienda nel trienni</w:t>
      </w:r>
      <w:r w:rsidR="008431DC" w:rsidRPr="00D96066">
        <w:t>o p</w:t>
      </w:r>
      <w:r w:rsidRPr="00D96066">
        <w:t>recedente l’anno corrente (202</w:t>
      </w:r>
      <w:r w:rsidR="00887512">
        <w:t>1</w:t>
      </w:r>
      <w:r w:rsidRPr="00D96066">
        <w:t>-202</w:t>
      </w:r>
      <w:r w:rsidR="00887512">
        <w:t>3</w:t>
      </w:r>
      <w:r w:rsidRPr="00D96066">
        <w:t>)</w:t>
      </w:r>
      <w:r w:rsidR="00887512">
        <w:t>.</w:t>
      </w:r>
    </w:p>
    <w:p w14:paraId="3D5AD8E7" w14:textId="77777777" w:rsidR="008431DC" w:rsidRPr="00D96066" w:rsidRDefault="008431DC" w:rsidP="008431DC">
      <w:pPr>
        <w:pStyle w:val="Paragrafoelenco"/>
        <w:ind w:left="502"/>
        <w:rPr>
          <w:b/>
        </w:rPr>
      </w:pPr>
      <w:r w:rsidRPr="00D96066">
        <w:rPr>
          <w:b/>
        </w:rPr>
        <w:lastRenderedPageBreak/>
        <w:t>Risposta:</w:t>
      </w:r>
      <w:r w:rsidRPr="00D96066">
        <w:rPr>
          <w:b/>
          <w:i/>
          <w:szCs w:val="22"/>
        </w:rPr>
        <w:t xml:space="preserve"> </w:t>
      </w:r>
    </w:p>
    <w:p w14:paraId="613FE125" w14:textId="77777777" w:rsidR="008431DC" w:rsidRPr="00D96066" w:rsidRDefault="008431DC" w:rsidP="008431DC">
      <w:pPr>
        <w:pStyle w:val="Paragrafoelenco"/>
        <w:ind w:left="502"/>
      </w:pPr>
      <w:r w:rsidRPr="00D96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D305D" w14:textId="77777777" w:rsidR="00506552" w:rsidRDefault="00506552" w:rsidP="00506552">
      <w:pPr>
        <w:pStyle w:val="Paragrafoelenco"/>
        <w:numPr>
          <w:ilvl w:val="0"/>
          <w:numId w:val="5"/>
        </w:numPr>
      </w:pPr>
      <w:r w:rsidRPr="00506552">
        <w:t xml:space="preserve">Indicare quali certificazioni possiede la Vostra azienda relativamente all’oggetto della presente </w:t>
      </w:r>
      <w:r w:rsidR="007F0F41">
        <w:t>iniziativa</w:t>
      </w:r>
      <w:r w:rsidRPr="00506552">
        <w:t xml:space="preserve"> (certificazioni di tipo organizzativo quale ad esempio ISO 9001, certificazioni di tipo ambientale quali ad esempio ISO 14001, EMAS, ecc. o altre certificazioni tra quelle previste dall'allegato II.13 al d.lgs. 36/2023)</w:t>
      </w:r>
      <w:r>
        <w:t>.</w:t>
      </w:r>
    </w:p>
    <w:p w14:paraId="11255D85" w14:textId="77777777" w:rsidR="00506552" w:rsidRPr="00506552" w:rsidRDefault="00506552" w:rsidP="00506552">
      <w:pPr>
        <w:ind w:left="567"/>
        <w:rPr>
          <w:b/>
        </w:rPr>
      </w:pPr>
      <w:r w:rsidRPr="00506552">
        <w:rPr>
          <w:b/>
        </w:rPr>
        <w:t>Risposta:</w:t>
      </w:r>
      <w:r w:rsidRPr="00506552">
        <w:rPr>
          <w:b/>
          <w:i/>
          <w:szCs w:val="22"/>
        </w:rPr>
        <w:t xml:space="preserve"> </w:t>
      </w:r>
    </w:p>
    <w:p w14:paraId="618162D9" w14:textId="77777777" w:rsidR="00506552" w:rsidRPr="00D96066" w:rsidRDefault="00506552" w:rsidP="00506552">
      <w:pPr>
        <w:ind w:left="567"/>
      </w:pPr>
      <w:r w:rsidRPr="00D96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BA0D21" w14:textId="77777777" w:rsidR="00506552" w:rsidRDefault="00506552" w:rsidP="0024547E">
      <w:pPr>
        <w:pStyle w:val="Paragrafoelenco"/>
        <w:numPr>
          <w:ilvl w:val="0"/>
          <w:numId w:val="5"/>
        </w:numPr>
      </w:pPr>
      <w:r>
        <w:t>Si richiede di fornire elementi da cui si possa evincere l’esperienza maturata dalla Vostra azienda, nel triennio precedente la pubblicazione del presente documento</w:t>
      </w:r>
      <w:r w:rsidR="007F0F41">
        <w:t xml:space="preserve"> di consultazione</w:t>
      </w:r>
      <w:r>
        <w:t>, in contratti avente per oggetto prestazioni analoghe a quelle descritte nel paragrafo 2. Per rispondere alla domanda si richiede di compilare i campi in bianco della seguente tabella.</w:t>
      </w:r>
    </w:p>
    <w:p w14:paraId="6B966CD9" w14:textId="77777777" w:rsidR="00506552" w:rsidRPr="006F7E00" w:rsidRDefault="00506552" w:rsidP="00506552">
      <w:pPr>
        <w:pStyle w:val="Paragrafoelenco"/>
        <w:ind w:left="502"/>
        <w:rPr>
          <w:b/>
        </w:rPr>
      </w:pPr>
      <w:r w:rsidRPr="006F7E00">
        <w:rPr>
          <w:b/>
        </w:rPr>
        <w:t>Risposta: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114"/>
        <w:gridCol w:w="963"/>
        <w:gridCol w:w="1099"/>
        <w:gridCol w:w="1093"/>
        <w:gridCol w:w="1651"/>
        <w:gridCol w:w="958"/>
      </w:tblGrid>
      <w:tr w:rsidR="00360025" w:rsidRPr="00360025" w14:paraId="553AFE77" w14:textId="77777777" w:rsidTr="007F0F41">
        <w:trPr>
          <w:trHeight w:val="98"/>
          <w:tblHeader/>
          <w:jc w:val="center"/>
        </w:trPr>
        <w:tc>
          <w:tcPr>
            <w:tcW w:w="5000" w:type="pct"/>
            <w:gridSpan w:val="7"/>
            <w:tcBorders>
              <w:bottom w:val="single" w:sz="4" w:space="0" w:color="auto"/>
            </w:tcBorders>
            <w:shd w:val="clear" w:color="auto" w:fill="8DB3E2" w:themeFill="text2" w:themeFillTint="66"/>
            <w:vAlign w:val="center"/>
          </w:tcPr>
          <w:p w14:paraId="04DAB413" w14:textId="77777777" w:rsidR="00360025" w:rsidRPr="00360025" w:rsidRDefault="00360025" w:rsidP="0024547E">
            <w:pPr>
              <w:jc w:val="center"/>
              <w:rPr>
                <w:b/>
                <w:bCs w:val="0"/>
                <w:sz w:val="16"/>
                <w:szCs w:val="16"/>
              </w:rPr>
            </w:pPr>
            <w:r w:rsidRPr="00360025">
              <w:rPr>
                <w:b/>
                <w:color w:val="FFFFFF" w:themeColor="background1"/>
                <w:sz w:val="16"/>
                <w:szCs w:val="16"/>
              </w:rPr>
              <w:t>CONTRATTI ANALOGHI</w:t>
            </w:r>
          </w:p>
        </w:tc>
      </w:tr>
      <w:tr w:rsidR="006F7E00" w:rsidRPr="00360025" w14:paraId="77DF8B6B" w14:textId="77777777" w:rsidTr="007F0F41">
        <w:trPr>
          <w:trHeight w:val="490"/>
          <w:tblHeader/>
          <w:jc w:val="center"/>
        </w:trPr>
        <w:tc>
          <w:tcPr>
            <w:tcW w:w="951" w:type="pct"/>
            <w:tcBorders>
              <w:bottom w:val="single" w:sz="4" w:space="0" w:color="auto"/>
            </w:tcBorders>
            <w:shd w:val="clear" w:color="auto" w:fill="8DB3E2" w:themeFill="text2" w:themeFillTint="66"/>
            <w:vAlign w:val="center"/>
          </w:tcPr>
          <w:p w14:paraId="5340F299" w14:textId="77777777" w:rsidR="00360025" w:rsidRPr="00360025" w:rsidRDefault="00360025" w:rsidP="00360025">
            <w:pPr>
              <w:ind w:left="26"/>
              <w:jc w:val="center"/>
              <w:rPr>
                <w:b/>
                <w:bCs w:val="0"/>
                <w:i/>
                <w:color w:val="FFFFFF" w:themeColor="background1"/>
                <w:sz w:val="16"/>
                <w:szCs w:val="16"/>
              </w:rPr>
            </w:pPr>
            <w:r w:rsidRPr="00360025">
              <w:rPr>
                <w:b/>
                <w:i/>
                <w:color w:val="FFFFFF" w:themeColor="background1"/>
                <w:sz w:val="16"/>
                <w:szCs w:val="16"/>
              </w:rPr>
              <w:t>Descrizione/Oggetto del contratto</w:t>
            </w:r>
          </w:p>
        </w:tc>
        <w:tc>
          <w:tcPr>
            <w:tcW w:w="656" w:type="pct"/>
            <w:tcBorders>
              <w:bottom w:val="single" w:sz="4" w:space="0" w:color="auto"/>
            </w:tcBorders>
            <w:shd w:val="clear" w:color="auto" w:fill="8DB3E2" w:themeFill="text2" w:themeFillTint="66"/>
            <w:vAlign w:val="center"/>
          </w:tcPr>
          <w:p w14:paraId="7DA7A97A" w14:textId="77777777" w:rsidR="00360025" w:rsidRPr="00360025" w:rsidRDefault="00360025" w:rsidP="00360025">
            <w:pPr>
              <w:ind w:left="26"/>
              <w:jc w:val="center"/>
              <w:rPr>
                <w:b/>
                <w:bCs w:val="0"/>
                <w:i/>
                <w:color w:val="FFFFFF" w:themeColor="background1"/>
                <w:sz w:val="16"/>
                <w:szCs w:val="16"/>
              </w:rPr>
            </w:pPr>
            <w:r w:rsidRPr="00360025">
              <w:rPr>
                <w:b/>
                <w:i/>
                <w:color w:val="FFFFFF" w:themeColor="background1"/>
                <w:sz w:val="16"/>
                <w:szCs w:val="16"/>
              </w:rPr>
              <w:t>Committente</w:t>
            </w:r>
          </w:p>
        </w:tc>
        <w:tc>
          <w:tcPr>
            <w:tcW w:w="567" w:type="pct"/>
            <w:tcBorders>
              <w:bottom w:val="single" w:sz="4" w:space="0" w:color="auto"/>
            </w:tcBorders>
            <w:shd w:val="clear" w:color="auto" w:fill="8DB3E2" w:themeFill="text2" w:themeFillTint="66"/>
            <w:vAlign w:val="center"/>
          </w:tcPr>
          <w:p w14:paraId="241D9B9E" w14:textId="77777777" w:rsidR="00360025" w:rsidRPr="00360025" w:rsidRDefault="00360025" w:rsidP="00360025">
            <w:pPr>
              <w:ind w:left="26"/>
              <w:jc w:val="center"/>
              <w:rPr>
                <w:b/>
                <w:bCs w:val="0"/>
                <w:i/>
                <w:color w:val="FFFFFF" w:themeColor="background1"/>
                <w:sz w:val="16"/>
                <w:szCs w:val="16"/>
              </w:rPr>
            </w:pPr>
            <w:r w:rsidRPr="00360025">
              <w:rPr>
                <w:b/>
                <w:i/>
                <w:color w:val="FFFFFF" w:themeColor="background1"/>
                <w:sz w:val="16"/>
                <w:szCs w:val="16"/>
              </w:rPr>
              <w:t>Periodo esecuzione</w:t>
            </w:r>
          </w:p>
        </w:tc>
        <w:tc>
          <w:tcPr>
            <w:tcW w:w="743" w:type="pct"/>
            <w:tcBorders>
              <w:bottom w:val="single" w:sz="4" w:space="0" w:color="auto"/>
            </w:tcBorders>
            <w:shd w:val="clear" w:color="auto" w:fill="8DB3E2" w:themeFill="text2" w:themeFillTint="66"/>
            <w:vAlign w:val="center"/>
          </w:tcPr>
          <w:p w14:paraId="1EE7BE43" w14:textId="77777777" w:rsidR="00360025" w:rsidRPr="00360025" w:rsidRDefault="00360025" w:rsidP="00360025">
            <w:pPr>
              <w:ind w:left="26"/>
              <w:jc w:val="center"/>
              <w:rPr>
                <w:b/>
                <w:bCs w:val="0"/>
                <w:i/>
                <w:color w:val="FFFFFF" w:themeColor="background1"/>
                <w:sz w:val="16"/>
                <w:szCs w:val="16"/>
              </w:rPr>
            </w:pPr>
            <w:r w:rsidRPr="00360025">
              <w:rPr>
                <w:b/>
                <w:i/>
                <w:color w:val="FFFFFF" w:themeColor="background1"/>
                <w:sz w:val="16"/>
                <w:szCs w:val="16"/>
              </w:rPr>
              <w:t>Tipologie di prestazioni rese</w:t>
            </w:r>
          </w:p>
        </w:tc>
        <w:tc>
          <w:tcPr>
            <w:tcW w:w="417" w:type="pct"/>
            <w:tcBorders>
              <w:bottom w:val="single" w:sz="4" w:space="0" w:color="auto"/>
            </w:tcBorders>
            <w:shd w:val="clear" w:color="auto" w:fill="8DB3E2" w:themeFill="text2" w:themeFillTint="66"/>
            <w:vAlign w:val="center"/>
          </w:tcPr>
          <w:p w14:paraId="3B7ADD38" w14:textId="77777777" w:rsidR="00360025" w:rsidRPr="00360025" w:rsidRDefault="00360025" w:rsidP="00360025">
            <w:pPr>
              <w:ind w:left="26"/>
              <w:jc w:val="center"/>
              <w:rPr>
                <w:b/>
                <w:bCs w:val="0"/>
                <w:i/>
                <w:color w:val="FFFFFF" w:themeColor="background1"/>
                <w:sz w:val="16"/>
                <w:szCs w:val="16"/>
              </w:rPr>
            </w:pPr>
            <w:r w:rsidRPr="00360025">
              <w:rPr>
                <w:b/>
                <w:i/>
                <w:color w:val="FFFFFF" w:themeColor="background1"/>
                <w:sz w:val="16"/>
                <w:szCs w:val="16"/>
              </w:rPr>
              <w:t>Quantitativo</w:t>
            </w:r>
          </w:p>
        </w:tc>
        <w:tc>
          <w:tcPr>
            <w:tcW w:w="1067" w:type="pct"/>
            <w:tcBorders>
              <w:bottom w:val="single" w:sz="4" w:space="0" w:color="auto"/>
            </w:tcBorders>
            <w:shd w:val="clear" w:color="auto" w:fill="8DB3E2" w:themeFill="text2" w:themeFillTint="66"/>
            <w:vAlign w:val="center"/>
          </w:tcPr>
          <w:p w14:paraId="73856EC1" w14:textId="77777777" w:rsidR="00360025" w:rsidRPr="00360025" w:rsidRDefault="00360025" w:rsidP="00360025">
            <w:pPr>
              <w:ind w:left="26"/>
              <w:jc w:val="center"/>
              <w:rPr>
                <w:b/>
                <w:bCs w:val="0"/>
                <w:i/>
                <w:color w:val="FFFFFF" w:themeColor="background1"/>
                <w:sz w:val="16"/>
                <w:szCs w:val="16"/>
              </w:rPr>
            </w:pPr>
            <w:r w:rsidRPr="00360025">
              <w:rPr>
                <w:b/>
                <w:i/>
                <w:color w:val="FFFFFF" w:themeColor="background1"/>
                <w:sz w:val="16"/>
                <w:szCs w:val="16"/>
              </w:rPr>
              <w:t>Durata</w:t>
            </w:r>
            <w:r w:rsidR="006F7E00">
              <w:rPr>
                <w:b/>
                <w:i/>
                <w:color w:val="FFFFFF" w:themeColor="background1"/>
                <w:sz w:val="16"/>
                <w:szCs w:val="16"/>
              </w:rPr>
              <w:t xml:space="preserve"> (dal mm/aaaa – al mm/aaaa)</w:t>
            </w:r>
          </w:p>
        </w:tc>
        <w:tc>
          <w:tcPr>
            <w:tcW w:w="598" w:type="pct"/>
            <w:tcBorders>
              <w:bottom w:val="single" w:sz="4" w:space="0" w:color="auto"/>
            </w:tcBorders>
            <w:shd w:val="clear" w:color="auto" w:fill="8DB3E2" w:themeFill="text2" w:themeFillTint="66"/>
            <w:vAlign w:val="center"/>
          </w:tcPr>
          <w:p w14:paraId="60F6D1E8" w14:textId="77777777" w:rsidR="00360025" w:rsidRPr="00360025" w:rsidRDefault="00360025" w:rsidP="00360025">
            <w:pPr>
              <w:ind w:left="26"/>
              <w:jc w:val="center"/>
              <w:rPr>
                <w:b/>
                <w:bCs w:val="0"/>
                <w:i/>
                <w:color w:val="FFFFFF" w:themeColor="background1"/>
                <w:sz w:val="16"/>
                <w:szCs w:val="16"/>
              </w:rPr>
            </w:pPr>
            <w:r w:rsidRPr="00360025">
              <w:rPr>
                <w:b/>
                <w:i/>
                <w:color w:val="FFFFFF" w:themeColor="background1"/>
                <w:sz w:val="16"/>
                <w:szCs w:val="16"/>
              </w:rPr>
              <w:t>Valore economico (€)</w:t>
            </w:r>
          </w:p>
        </w:tc>
      </w:tr>
      <w:tr w:rsidR="006F7E00" w:rsidRPr="00360025" w14:paraId="68B3D2B2" w14:textId="77777777" w:rsidTr="007F0F41">
        <w:trPr>
          <w:trHeight w:val="288"/>
          <w:jc w:val="center"/>
        </w:trPr>
        <w:tc>
          <w:tcPr>
            <w:tcW w:w="951" w:type="pct"/>
            <w:shd w:val="clear" w:color="auto" w:fill="FFFFFF" w:themeFill="background1"/>
            <w:vAlign w:val="center"/>
          </w:tcPr>
          <w:p w14:paraId="55F4756A" w14:textId="77777777" w:rsidR="00360025" w:rsidRPr="00360025" w:rsidRDefault="00360025" w:rsidP="00360025">
            <w:pPr>
              <w:ind w:left="26"/>
              <w:rPr>
                <w:sz w:val="16"/>
                <w:szCs w:val="16"/>
              </w:rPr>
            </w:pPr>
          </w:p>
        </w:tc>
        <w:tc>
          <w:tcPr>
            <w:tcW w:w="656" w:type="pct"/>
            <w:tcBorders>
              <w:bottom w:val="single" w:sz="4" w:space="0" w:color="auto"/>
            </w:tcBorders>
            <w:shd w:val="clear" w:color="auto" w:fill="FFFFFF" w:themeFill="background1"/>
            <w:vAlign w:val="center"/>
          </w:tcPr>
          <w:p w14:paraId="1E4952EE" w14:textId="77777777" w:rsidR="00360025" w:rsidRPr="00360025" w:rsidRDefault="00360025" w:rsidP="00360025">
            <w:pPr>
              <w:ind w:left="26"/>
              <w:rPr>
                <w:bCs w:val="0"/>
                <w:sz w:val="16"/>
                <w:szCs w:val="16"/>
              </w:rPr>
            </w:pPr>
          </w:p>
        </w:tc>
        <w:tc>
          <w:tcPr>
            <w:tcW w:w="567" w:type="pct"/>
            <w:tcBorders>
              <w:bottom w:val="single" w:sz="4" w:space="0" w:color="auto"/>
            </w:tcBorders>
            <w:shd w:val="clear" w:color="auto" w:fill="FFFFFF" w:themeFill="background1"/>
            <w:vAlign w:val="center"/>
          </w:tcPr>
          <w:p w14:paraId="7DFF2BC1" w14:textId="77777777" w:rsidR="00360025" w:rsidRPr="00360025" w:rsidRDefault="00360025" w:rsidP="00360025">
            <w:pPr>
              <w:ind w:left="26"/>
              <w:rPr>
                <w:bCs w:val="0"/>
                <w:sz w:val="16"/>
                <w:szCs w:val="16"/>
              </w:rPr>
            </w:pPr>
          </w:p>
        </w:tc>
        <w:tc>
          <w:tcPr>
            <w:tcW w:w="743" w:type="pct"/>
            <w:shd w:val="clear" w:color="auto" w:fill="FFFFFF" w:themeFill="background1"/>
            <w:vAlign w:val="center"/>
          </w:tcPr>
          <w:p w14:paraId="413E8D44" w14:textId="77777777" w:rsidR="00360025" w:rsidRPr="00360025" w:rsidRDefault="00360025" w:rsidP="00360025">
            <w:pPr>
              <w:ind w:left="26"/>
              <w:rPr>
                <w:bCs w:val="0"/>
                <w:sz w:val="16"/>
                <w:szCs w:val="16"/>
              </w:rPr>
            </w:pPr>
          </w:p>
        </w:tc>
        <w:tc>
          <w:tcPr>
            <w:tcW w:w="417" w:type="pct"/>
            <w:shd w:val="clear" w:color="auto" w:fill="FFFFFF" w:themeFill="background1"/>
            <w:vAlign w:val="center"/>
          </w:tcPr>
          <w:p w14:paraId="17BE30D0" w14:textId="77777777" w:rsidR="00360025" w:rsidRPr="00360025" w:rsidRDefault="00360025" w:rsidP="00360025">
            <w:pPr>
              <w:ind w:left="26"/>
              <w:rPr>
                <w:bCs w:val="0"/>
                <w:sz w:val="16"/>
                <w:szCs w:val="16"/>
              </w:rPr>
            </w:pPr>
          </w:p>
        </w:tc>
        <w:tc>
          <w:tcPr>
            <w:tcW w:w="1067" w:type="pct"/>
            <w:shd w:val="clear" w:color="auto" w:fill="FFFFFF" w:themeFill="background1"/>
            <w:vAlign w:val="center"/>
          </w:tcPr>
          <w:p w14:paraId="76635D7F" w14:textId="77777777" w:rsidR="00360025" w:rsidRPr="00360025" w:rsidRDefault="00360025" w:rsidP="00360025">
            <w:pPr>
              <w:ind w:left="26"/>
              <w:rPr>
                <w:bCs w:val="0"/>
                <w:sz w:val="16"/>
                <w:szCs w:val="16"/>
              </w:rPr>
            </w:pPr>
          </w:p>
        </w:tc>
        <w:tc>
          <w:tcPr>
            <w:tcW w:w="598" w:type="pct"/>
            <w:shd w:val="clear" w:color="auto" w:fill="FFFFFF" w:themeFill="background1"/>
            <w:vAlign w:val="center"/>
          </w:tcPr>
          <w:p w14:paraId="5D06CB58" w14:textId="77777777" w:rsidR="00360025" w:rsidRPr="00360025" w:rsidRDefault="00360025" w:rsidP="00360025">
            <w:pPr>
              <w:ind w:left="26"/>
              <w:rPr>
                <w:bCs w:val="0"/>
                <w:sz w:val="16"/>
                <w:szCs w:val="16"/>
              </w:rPr>
            </w:pPr>
          </w:p>
        </w:tc>
      </w:tr>
      <w:tr w:rsidR="006F7E00" w:rsidRPr="00360025" w14:paraId="696833EB" w14:textId="77777777" w:rsidTr="007F0F41">
        <w:trPr>
          <w:trHeight w:val="407"/>
          <w:jc w:val="center"/>
        </w:trPr>
        <w:tc>
          <w:tcPr>
            <w:tcW w:w="951" w:type="pct"/>
            <w:shd w:val="clear" w:color="auto" w:fill="FFFFFF" w:themeFill="background1"/>
            <w:vAlign w:val="center"/>
          </w:tcPr>
          <w:p w14:paraId="55A6EDCD" w14:textId="77777777" w:rsidR="00360025" w:rsidRPr="00360025" w:rsidRDefault="00360025" w:rsidP="00360025">
            <w:pPr>
              <w:ind w:left="26"/>
              <w:rPr>
                <w:bCs w:val="0"/>
                <w:sz w:val="16"/>
                <w:szCs w:val="16"/>
              </w:rPr>
            </w:pPr>
          </w:p>
        </w:tc>
        <w:tc>
          <w:tcPr>
            <w:tcW w:w="656" w:type="pct"/>
            <w:shd w:val="clear" w:color="auto" w:fill="FFFFFF" w:themeFill="background1"/>
            <w:vAlign w:val="center"/>
          </w:tcPr>
          <w:p w14:paraId="7FFDA3F7" w14:textId="77777777" w:rsidR="00360025" w:rsidRPr="00360025" w:rsidRDefault="00360025" w:rsidP="00360025">
            <w:pPr>
              <w:ind w:left="26"/>
              <w:rPr>
                <w:bCs w:val="0"/>
                <w:sz w:val="16"/>
                <w:szCs w:val="16"/>
              </w:rPr>
            </w:pPr>
          </w:p>
        </w:tc>
        <w:tc>
          <w:tcPr>
            <w:tcW w:w="567" w:type="pct"/>
            <w:shd w:val="clear" w:color="auto" w:fill="FFFFFF" w:themeFill="background1"/>
            <w:vAlign w:val="center"/>
          </w:tcPr>
          <w:p w14:paraId="40883A69" w14:textId="77777777" w:rsidR="00360025" w:rsidRPr="00360025" w:rsidRDefault="00360025" w:rsidP="00360025">
            <w:pPr>
              <w:ind w:left="26"/>
              <w:rPr>
                <w:bCs w:val="0"/>
                <w:sz w:val="16"/>
                <w:szCs w:val="16"/>
              </w:rPr>
            </w:pPr>
          </w:p>
        </w:tc>
        <w:tc>
          <w:tcPr>
            <w:tcW w:w="743" w:type="pct"/>
            <w:shd w:val="clear" w:color="auto" w:fill="FFFFFF" w:themeFill="background1"/>
            <w:vAlign w:val="center"/>
          </w:tcPr>
          <w:p w14:paraId="45359567" w14:textId="77777777" w:rsidR="00360025" w:rsidRPr="00360025" w:rsidRDefault="00360025" w:rsidP="00360025">
            <w:pPr>
              <w:ind w:left="26"/>
              <w:rPr>
                <w:bCs w:val="0"/>
                <w:sz w:val="16"/>
                <w:szCs w:val="16"/>
              </w:rPr>
            </w:pPr>
          </w:p>
        </w:tc>
        <w:tc>
          <w:tcPr>
            <w:tcW w:w="417" w:type="pct"/>
            <w:shd w:val="clear" w:color="auto" w:fill="FFFFFF" w:themeFill="background1"/>
            <w:vAlign w:val="center"/>
          </w:tcPr>
          <w:p w14:paraId="33B1604B" w14:textId="77777777" w:rsidR="00360025" w:rsidRPr="00360025" w:rsidRDefault="00360025" w:rsidP="00360025">
            <w:pPr>
              <w:ind w:left="26"/>
              <w:rPr>
                <w:bCs w:val="0"/>
                <w:sz w:val="16"/>
                <w:szCs w:val="16"/>
              </w:rPr>
            </w:pPr>
          </w:p>
        </w:tc>
        <w:tc>
          <w:tcPr>
            <w:tcW w:w="1067" w:type="pct"/>
            <w:shd w:val="clear" w:color="auto" w:fill="FFFFFF" w:themeFill="background1"/>
            <w:vAlign w:val="center"/>
          </w:tcPr>
          <w:p w14:paraId="36C7E8DA" w14:textId="77777777" w:rsidR="00360025" w:rsidRPr="00360025" w:rsidRDefault="00360025" w:rsidP="00360025">
            <w:pPr>
              <w:ind w:left="26"/>
              <w:rPr>
                <w:bCs w:val="0"/>
                <w:sz w:val="16"/>
                <w:szCs w:val="16"/>
              </w:rPr>
            </w:pPr>
          </w:p>
        </w:tc>
        <w:tc>
          <w:tcPr>
            <w:tcW w:w="598" w:type="pct"/>
            <w:shd w:val="clear" w:color="auto" w:fill="FFFFFF" w:themeFill="background1"/>
            <w:vAlign w:val="center"/>
          </w:tcPr>
          <w:p w14:paraId="2E3CB13D" w14:textId="77777777" w:rsidR="00360025" w:rsidRPr="00360025" w:rsidRDefault="00360025" w:rsidP="00360025">
            <w:pPr>
              <w:ind w:left="26"/>
              <w:rPr>
                <w:bCs w:val="0"/>
                <w:sz w:val="16"/>
                <w:szCs w:val="16"/>
              </w:rPr>
            </w:pPr>
          </w:p>
        </w:tc>
      </w:tr>
      <w:tr w:rsidR="006F7E00" w:rsidRPr="00360025" w14:paraId="7B2575B1" w14:textId="77777777" w:rsidTr="007F0F41">
        <w:trPr>
          <w:trHeight w:val="412"/>
          <w:jc w:val="center"/>
        </w:trPr>
        <w:tc>
          <w:tcPr>
            <w:tcW w:w="951" w:type="pct"/>
            <w:shd w:val="clear" w:color="auto" w:fill="FFFFFF" w:themeFill="background1"/>
            <w:vAlign w:val="center"/>
          </w:tcPr>
          <w:p w14:paraId="5D9CB881" w14:textId="77777777" w:rsidR="00360025" w:rsidRPr="00360025" w:rsidRDefault="00360025" w:rsidP="00360025">
            <w:pPr>
              <w:ind w:left="26"/>
              <w:rPr>
                <w:bCs w:val="0"/>
                <w:sz w:val="16"/>
                <w:szCs w:val="16"/>
              </w:rPr>
            </w:pPr>
          </w:p>
        </w:tc>
        <w:tc>
          <w:tcPr>
            <w:tcW w:w="656" w:type="pct"/>
            <w:shd w:val="clear" w:color="auto" w:fill="FFFFFF" w:themeFill="background1"/>
            <w:vAlign w:val="center"/>
          </w:tcPr>
          <w:p w14:paraId="605F098C" w14:textId="77777777" w:rsidR="00360025" w:rsidRPr="00360025" w:rsidRDefault="00360025" w:rsidP="00360025">
            <w:pPr>
              <w:ind w:left="26"/>
              <w:rPr>
                <w:bCs w:val="0"/>
                <w:sz w:val="16"/>
                <w:szCs w:val="16"/>
              </w:rPr>
            </w:pPr>
          </w:p>
        </w:tc>
        <w:tc>
          <w:tcPr>
            <w:tcW w:w="567" w:type="pct"/>
            <w:shd w:val="clear" w:color="auto" w:fill="FFFFFF" w:themeFill="background1"/>
            <w:vAlign w:val="center"/>
          </w:tcPr>
          <w:p w14:paraId="38FE3426" w14:textId="77777777" w:rsidR="00360025" w:rsidRPr="00360025" w:rsidRDefault="00360025" w:rsidP="00360025">
            <w:pPr>
              <w:ind w:left="26"/>
              <w:rPr>
                <w:bCs w:val="0"/>
                <w:sz w:val="16"/>
                <w:szCs w:val="16"/>
              </w:rPr>
            </w:pPr>
          </w:p>
        </w:tc>
        <w:tc>
          <w:tcPr>
            <w:tcW w:w="743" w:type="pct"/>
            <w:shd w:val="clear" w:color="auto" w:fill="FFFFFF" w:themeFill="background1"/>
            <w:vAlign w:val="center"/>
          </w:tcPr>
          <w:p w14:paraId="0B236C0D" w14:textId="77777777" w:rsidR="00360025" w:rsidRPr="00360025" w:rsidRDefault="00360025" w:rsidP="00360025">
            <w:pPr>
              <w:ind w:left="26"/>
              <w:rPr>
                <w:bCs w:val="0"/>
                <w:sz w:val="16"/>
                <w:szCs w:val="16"/>
              </w:rPr>
            </w:pPr>
          </w:p>
        </w:tc>
        <w:tc>
          <w:tcPr>
            <w:tcW w:w="417" w:type="pct"/>
            <w:shd w:val="clear" w:color="auto" w:fill="FFFFFF" w:themeFill="background1"/>
            <w:vAlign w:val="center"/>
          </w:tcPr>
          <w:p w14:paraId="68F4E4D2" w14:textId="77777777" w:rsidR="00360025" w:rsidRPr="00360025" w:rsidRDefault="00360025" w:rsidP="00360025">
            <w:pPr>
              <w:ind w:left="26"/>
              <w:rPr>
                <w:bCs w:val="0"/>
                <w:sz w:val="16"/>
                <w:szCs w:val="16"/>
              </w:rPr>
            </w:pPr>
          </w:p>
        </w:tc>
        <w:tc>
          <w:tcPr>
            <w:tcW w:w="1067" w:type="pct"/>
            <w:shd w:val="clear" w:color="auto" w:fill="FFFFFF" w:themeFill="background1"/>
            <w:vAlign w:val="center"/>
          </w:tcPr>
          <w:p w14:paraId="15FB2BAD" w14:textId="77777777" w:rsidR="00360025" w:rsidRPr="00360025" w:rsidRDefault="00360025" w:rsidP="00360025">
            <w:pPr>
              <w:ind w:left="26"/>
              <w:rPr>
                <w:bCs w:val="0"/>
                <w:sz w:val="16"/>
                <w:szCs w:val="16"/>
              </w:rPr>
            </w:pPr>
          </w:p>
        </w:tc>
        <w:tc>
          <w:tcPr>
            <w:tcW w:w="598" w:type="pct"/>
            <w:shd w:val="clear" w:color="auto" w:fill="FFFFFF" w:themeFill="background1"/>
            <w:vAlign w:val="center"/>
          </w:tcPr>
          <w:p w14:paraId="5FC74817" w14:textId="77777777" w:rsidR="00360025" w:rsidRPr="00360025" w:rsidRDefault="00360025" w:rsidP="00360025">
            <w:pPr>
              <w:ind w:left="26"/>
              <w:rPr>
                <w:bCs w:val="0"/>
                <w:sz w:val="16"/>
                <w:szCs w:val="16"/>
              </w:rPr>
            </w:pPr>
          </w:p>
        </w:tc>
      </w:tr>
      <w:tr w:rsidR="006F7E00" w:rsidRPr="00360025" w14:paraId="353EFEA8" w14:textId="77777777" w:rsidTr="007F0F41">
        <w:trPr>
          <w:trHeight w:val="371"/>
          <w:jc w:val="center"/>
        </w:trPr>
        <w:tc>
          <w:tcPr>
            <w:tcW w:w="951" w:type="pct"/>
            <w:shd w:val="clear" w:color="auto" w:fill="FFFFFF" w:themeFill="background1"/>
            <w:vAlign w:val="center"/>
          </w:tcPr>
          <w:p w14:paraId="6720F13F" w14:textId="77777777" w:rsidR="00360025" w:rsidRPr="00360025" w:rsidRDefault="00360025" w:rsidP="00360025">
            <w:pPr>
              <w:ind w:left="26"/>
              <w:rPr>
                <w:bCs w:val="0"/>
                <w:sz w:val="16"/>
                <w:szCs w:val="16"/>
              </w:rPr>
            </w:pPr>
          </w:p>
        </w:tc>
        <w:tc>
          <w:tcPr>
            <w:tcW w:w="656" w:type="pct"/>
            <w:shd w:val="clear" w:color="auto" w:fill="FFFFFF" w:themeFill="background1"/>
            <w:vAlign w:val="center"/>
          </w:tcPr>
          <w:p w14:paraId="75D3F818" w14:textId="77777777" w:rsidR="00360025" w:rsidRPr="00360025" w:rsidRDefault="00360025" w:rsidP="00360025">
            <w:pPr>
              <w:ind w:left="26"/>
              <w:rPr>
                <w:bCs w:val="0"/>
                <w:sz w:val="16"/>
                <w:szCs w:val="16"/>
              </w:rPr>
            </w:pPr>
          </w:p>
        </w:tc>
        <w:tc>
          <w:tcPr>
            <w:tcW w:w="567" w:type="pct"/>
            <w:shd w:val="clear" w:color="auto" w:fill="FFFFFF" w:themeFill="background1"/>
            <w:vAlign w:val="center"/>
          </w:tcPr>
          <w:p w14:paraId="5FE1945F" w14:textId="77777777" w:rsidR="00360025" w:rsidRPr="00360025" w:rsidRDefault="00360025" w:rsidP="00360025">
            <w:pPr>
              <w:ind w:left="26"/>
              <w:rPr>
                <w:bCs w:val="0"/>
                <w:sz w:val="16"/>
                <w:szCs w:val="16"/>
              </w:rPr>
            </w:pPr>
          </w:p>
        </w:tc>
        <w:tc>
          <w:tcPr>
            <w:tcW w:w="743" w:type="pct"/>
            <w:shd w:val="clear" w:color="auto" w:fill="FFFFFF" w:themeFill="background1"/>
            <w:vAlign w:val="center"/>
          </w:tcPr>
          <w:p w14:paraId="6C05F0D4" w14:textId="77777777" w:rsidR="00360025" w:rsidRPr="00360025" w:rsidRDefault="00360025" w:rsidP="00360025">
            <w:pPr>
              <w:ind w:left="26"/>
              <w:rPr>
                <w:bCs w:val="0"/>
                <w:sz w:val="16"/>
                <w:szCs w:val="16"/>
              </w:rPr>
            </w:pPr>
          </w:p>
        </w:tc>
        <w:tc>
          <w:tcPr>
            <w:tcW w:w="417" w:type="pct"/>
            <w:shd w:val="clear" w:color="auto" w:fill="FFFFFF" w:themeFill="background1"/>
            <w:vAlign w:val="center"/>
          </w:tcPr>
          <w:p w14:paraId="3AF4D992" w14:textId="77777777" w:rsidR="00360025" w:rsidRPr="00360025" w:rsidRDefault="00360025" w:rsidP="00360025">
            <w:pPr>
              <w:ind w:left="26"/>
              <w:rPr>
                <w:bCs w:val="0"/>
                <w:sz w:val="16"/>
                <w:szCs w:val="16"/>
              </w:rPr>
            </w:pPr>
          </w:p>
        </w:tc>
        <w:tc>
          <w:tcPr>
            <w:tcW w:w="1067" w:type="pct"/>
            <w:shd w:val="clear" w:color="auto" w:fill="FFFFFF" w:themeFill="background1"/>
            <w:vAlign w:val="center"/>
          </w:tcPr>
          <w:p w14:paraId="5E4B86E3" w14:textId="77777777" w:rsidR="00360025" w:rsidRPr="00360025" w:rsidRDefault="00360025" w:rsidP="00360025">
            <w:pPr>
              <w:ind w:left="26"/>
              <w:rPr>
                <w:bCs w:val="0"/>
                <w:sz w:val="16"/>
                <w:szCs w:val="16"/>
              </w:rPr>
            </w:pPr>
          </w:p>
        </w:tc>
        <w:tc>
          <w:tcPr>
            <w:tcW w:w="598" w:type="pct"/>
            <w:shd w:val="clear" w:color="auto" w:fill="FFFFFF" w:themeFill="background1"/>
            <w:vAlign w:val="center"/>
          </w:tcPr>
          <w:p w14:paraId="12828BEF" w14:textId="77777777" w:rsidR="00360025" w:rsidRPr="00360025" w:rsidRDefault="00360025" w:rsidP="00360025">
            <w:pPr>
              <w:ind w:left="26"/>
              <w:rPr>
                <w:bCs w:val="0"/>
                <w:sz w:val="16"/>
                <w:szCs w:val="16"/>
              </w:rPr>
            </w:pPr>
          </w:p>
        </w:tc>
      </w:tr>
    </w:tbl>
    <w:p w14:paraId="4CBC3AAA" w14:textId="77777777" w:rsidR="00243653" w:rsidRDefault="00243653" w:rsidP="0057638B">
      <w:pPr>
        <w:pStyle w:val="BodyText21"/>
        <w:ind w:left="1134"/>
      </w:pPr>
    </w:p>
    <w:p w14:paraId="6C23581B" w14:textId="77777777" w:rsidR="00243653" w:rsidRPr="001E41E3" w:rsidRDefault="00E33301" w:rsidP="00A6739B">
      <w:pPr>
        <w:pStyle w:val="Paragrafoelenco"/>
        <w:numPr>
          <w:ilvl w:val="0"/>
          <w:numId w:val="5"/>
        </w:numPr>
      </w:pPr>
      <w:r>
        <w:t xml:space="preserve">Con riferimento alle certificazioni </w:t>
      </w:r>
      <w:r w:rsidR="0076591A">
        <w:t>riportate</w:t>
      </w:r>
      <w:r>
        <w:t xml:space="preserve"> in </w:t>
      </w:r>
      <w:r>
        <w:fldChar w:fldCharType="begin"/>
      </w:r>
      <w:r>
        <w:instrText xml:space="preserve"> REF _Ref157184392 \h </w:instrText>
      </w:r>
      <w:r>
        <w:fldChar w:fldCharType="separate"/>
      </w:r>
      <w:r w:rsidRPr="00E33301">
        <w:rPr>
          <w:i/>
        </w:rPr>
        <w:t xml:space="preserve">Tabella </w:t>
      </w:r>
      <w:r w:rsidRPr="00E33301">
        <w:rPr>
          <w:i/>
          <w:noProof/>
        </w:rPr>
        <w:t>1</w:t>
      </w:r>
      <w:r>
        <w:fldChar w:fldCharType="end"/>
      </w:r>
      <w:r>
        <w:t xml:space="preserve">, </w:t>
      </w:r>
      <w:r w:rsidR="0076591A">
        <w:t xml:space="preserve">indicare </w:t>
      </w:r>
      <w:r>
        <w:t>quelle possedute dal personale alla Vostre dirette dipendenze, specificando, inoltre, il numero di dipendenti certificati nello specifico ambito</w:t>
      </w:r>
      <w:r w:rsidR="00434DFA">
        <w:t xml:space="preserve"> di certificazione</w:t>
      </w:r>
      <w:r>
        <w:t>.</w:t>
      </w:r>
    </w:p>
    <w:p w14:paraId="22F80789" w14:textId="77777777" w:rsidR="0057638B" w:rsidRPr="0057638B" w:rsidRDefault="0057638B" w:rsidP="00441602">
      <w:pPr>
        <w:ind w:left="567"/>
        <w:rPr>
          <w:b/>
        </w:rPr>
      </w:pPr>
      <w:r w:rsidRPr="0057638B">
        <w:rPr>
          <w:b/>
        </w:rPr>
        <w:t>Risposta:</w:t>
      </w:r>
    </w:p>
    <w:p w14:paraId="2045D2D6" w14:textId="77777777" w:rsidR="00441602" w:rsidRPr="00D96066" w:rsidRDefault="00441602" w:rsidP="00441602">
      <w:pPr>
        <w:ind w:left="567"/>
      </w:pPr>
      <w:r w:rsidRPr="00D96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B61AD5" w14:textId="77777777" w:rsidR="00E33301" w:rsidRPr="001E41E3" w:rsidRDefault="00E33301" w:rsidP="00E33301">
      <w:pPr>
        <w:pStyle w:val="Paragrafoelenco"/>
        <w:numPr>
          <w:ilvl w:val="0"/>
          <w:numId w:val="5"/>
        </w:numPr>
      </w:pPr>
      <w:r>
        <w:t xml:space="preserve">Con riferimento alle certificazioni </w:t>
      </w:r>
      <w:r w:rsidR="0076591A">
        <w:t xml:space="preserve">riportate </w:t>
      </w:r>
      <w:r>
        <w:t xml:space="preserve">in </w:t>
      </w:r>
      <w:r>
        <w:fldChar w:fldCharType="begin"/>
      </w:r>
      <w:r>
        <w:instrText xml:space="preserve"> REF _Ref157184392 \h </w:instrText>
      </w:r>
      <w:r>
        <w:fldChar w:fldCharType="separate"/>
      </w:r>
      <w:r w:rsidRPr="00E33301">
        <w:rPr>
          <w:i/>
        </w:rPr>
        <w:t xml:space="preserve">Tabella </w:t>
      </w:r>
      <w:r w:rsidRPr="00E33301">
        <w:rPr>
          <w:i/>
          <w:noProof/>
        </w:rPr>
        <w:t>1</w:t>
      </w:r>
      <w:r>
        <w:fldChar w:fldCharType="end"/>
      </w:r>
      <w:r>
        <w:t xml:space="preserve">, si prega di suggerire eventuali certificazioni </w:t>
      </w:r>
      <w:r w:rsidR="0076591A">
        <w:t>alternative</w:t>
      </w:r>
      <w:r w:rsidR="009E2F78">
        <w:t xml:space="preserve">/aggiuntive </w:t>
      </w:r>
      <w:r>
        <w:t xml:space="preserve">che possano qualificare meglio </w:t>
      </w:r>
      <w:r w:rsidR="0076591A">
        <w:t xml:space="preserve">i profili professionali </w:t>
      </w:r>
      <w:r w:rsidR="009E2F78">
        <w:t>richiesti</w:t>
      </w:r>
      <w:r>
        <w:t>.</w:t>
      </w:r>
    </w:p>
    <w:p w14:paraId="323034F9" w14:textId="77777777" w:rsidR="00E33301" w:rsidRPr="0057638B" w:rsidRDefault="00E33301" w:rsidP="00E33301">
      <w:pPr>
        <w:ind w:left="567"/>
        <w:rPr>
          <w:b/>
        </w:rPr>
      </w:pPr>
      <w:r w:rsidRPr="0057638B">
        <w:rPr>
          <w:b/>
        </w:rPr>
        <w:t>Risposta:</w:t>
      </w:r>
    </w:p>
    <w:p w14:paraId="7E6CF4E4" w14:textId="77777777" w:rsidR="00E33301" w:rsidRPr="00D96066" w:rsidRDefault="00E33301" w:rsidP="00E33301">
      <w:pPr>
        <w:ind w:left="567"/>
      </w:pPr>
      <w:r w:rsidRPr="00D96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FBD720" w14:textId="77777777" w:rsidR="00441602" w:rsidRPr="00441602" w:rsidRDefault="00441602" w:rsidP="00441602">
      <w:pPr>
        <w:pStyle w:val="Paragrafoelenco"/>
        <w:numPr>
          <w:ilvl w:val="0"/>
          <w:numId w:val="5"/>
        </w:numPr>
      </w:pPr>
      <w:r w:rsidRPr="00441602">
        <w:t>Si chiede di indicare ulteriori elementi/informazioni che possano essere utili per lo sviluppo dell’iniziativa oggetto della presente consultazione.</w:t>
      </w:r>
    </w:p>
    <w:p w14:paraId="3C78A9B0" w14:textId="77777777" w:rsidR="00441602" w:rsidRPr="007A4C83" w:rsidRDefault="00620576" w:rsidP="00441602">
      <w:pPr>
        <w:ind w:left="567"/>
        <w:rPr>
          <w:b/>
        </w:rPr>
      </w:pPr>
      <w:r>
        <w:rPr>
          <w:b/>
        </w:rPr>
        <w:t>Risposta:</w:t>
      </w:r>
    </w:p>
    <w:p w14:paraId="7C128E37" w14:textId="77777777" w:rsidR="00441602" w:rsidRPr="00D96066" w:rsidRDefault="00441602" w:rsidP="00441602">
      <w:pPr>
        <w:ind w:left="567"/>
      </w:pPr>
      <w:r w:rsidRPr="00D96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E6C68B" w14:textId="77777777" w:rsidR="00776E8E" w:rsidRDefault="00776E8E" w:rsidP="00A6739B"/>
    <w:p w14:paraId="265BB85C" w14:textId="77777777" w:rsidR="006C414B" w:rsidRDefault="00A82C5B" w:rsidP="00A6739B">
      <w:r>
        <w:t>Con la sottoscrizione del Documento di Consultazione del mercato, l’interessato acconsente espressamente al trattamento dei propri Dati personali più sopra forniti.</w:t>
      </w:r>
    </w:p>
    <w:tbl>
      <w:tblPr>
        <w:tblW w:w="2822" w:type="dxa"/>
        <w:tblInd w:w="108" w:type="dxa"/>
        <w:tblLook w:val="01E0" w:firstRow="1" w:lastRow="1" w:firstColumn="1" w:lastColumn="1" w:noHBand="0" w:noVBand="0"/>
      </w:tblPr>
      <w:tblGrid>
        <w:gridCol w:w="2822"/>
      </w:tblGrid>
      <w:tr w:rsidR="006C414B" w14:paraId="4AC00F01"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7BC709F" w14:textId="77777777" w:rsidR="00E50E99" w:rsidRDefault="00E50E99" w:rsidP="00A6739B"/>
          <w:p w14:paraId="03395D61" w14:textId="77777777" w:rsidR="006C414B" w:rsidRDefault="00A82C5B" w:rsidP="00A6739B">
            <w:pPr>
              <w:rPr>
                <w:rFonts w:ascii="Trebuchet MS" w:hAnsi="Trebuchet MS"/>
                <w:sz w:val="22"/>
                <w:szCs w:val="22"/>
              </w:rPr>
            </w:pPr>
            <w:r>
              <w:t>Firma operatore economico</w:t>
            </w:r>
          </w:p>
        </w:tc>
      </w:tr>
      <w:tr w:rsidR="006C414B" w14:paraId="0B758602" w14:textId="77777777">
        <w:tc>
          <w:tcPr>
            <w:tcW w:w="2822" w:type="dxa"/>
            <w:tcBorders>
              <w:top w:val="single" w:sz="4" w:space="0" w:color="FFFFFF" w:themeColor="background1"/>
            </w:tcBorders>
            <w:shd w:val="clear" w:color="auto" w:fill="auto"/>
          </w:tcPr>
          <w:p w14:paraId="450C7F1E" w14:textId="77777777" w:rsidR="006C414B" w:rsidRDefault="00A82C5B" w:rsidP="00A6739B">
            <w:pPr>
              <w:rPr>
                <w:highlight w:val="yellow"/>
              </w:rPr>
            </w:pPr>
            <w:r>
              <w:t>[Nome e Cognome]</w:t>
            </w:r>
          </w:p>
        </w:tc>
      </w:tr>
      <w:tr w:rsidR="006C414B" w14:paraId="74C23A11" w14:textId="77777777">
        <w:trPr>
          <w:trHeight w:val="413"/>
        </w:trPr>
        <w:tc>
          <w:tcPr>
            <w:tcW w:w="2822" w:type="dxa"/>
            <w:shd w:val="clear" w:color="auto" w:fill="auto"/>
          </w:tcPr>
          <w:p w14:paraId="36A2A19E" w14:textId="77777777" w:rsidR="00E50E99" w:rsidRDefault="00E50E99" w:rsidP="00A6739B"/>
          <w:p w14:paraId="181EE84B" w14:textId="77777777" w:rsidR="006C414B" w:rsidRDefault="00A82C5B" w:rsidP="00A6739B">
            <w:pPr>
              <w:rPr>
                <w:highlight w:val="yellow"/>
              </w:rPr>
            </w:pPr>
            <w:r>
              <w:t>_____________________</w:t>
            </w:r>
          </w:p>
        </w:tc>
      </w:tr>
    </w:tbl>
    <w:p w14:paraId="5A3AA08D" w14:textId="77777777" w:rsidR="006C414B" w:rsidRDefault="006C414B" w:rsidP="00A6739B"/>
    <w:p w14:paraId="162E1D2A" w14:textId="77777777" w:rsidR="006C414B" w:rsidRDefault="006C414B" w:rsidP="00A6739B"/>
    <w:sectPr w:rsidR="006C414B" w:rsidSect="00670A20">
      <w:headerReference w:type="default" r:id="rId12"/>
      <w:footerReference w:type="even" r:id="rId13"/>
      <w:footerReference w:type="default" r:id="rId14"/>
      <w:headerReference w:type="first" r:id="rId15"/>
      <w:footerReference w:type="first" r:id="rId16"/>
      <w:pgSz w:w="11906" w:h="16838" w:code="9"/>
      <w:pgMar w:top="2269" w:right="1701" w:bottom="1701" w:left="1701" w:header="709" w:footer="19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473D8" w16cid:durableId="2A43B989"/>
  <w16cid:commentId w16cid:paraId="37CA7135" w16cid:durableId="01C2434F"/>
  <w16cid:commentId w16cid:paraId="08F2AFFF" w16cid:durableId="131855DA"/>
  <w16cid:commentId w16cid:paraId="19DD13FE" w16cid:durableId="408F853E"/>
  <w16cid:commentId w16cid:paraId="51F300C7" w16cid:durableId="06C236A3"/>
  <w16cid:commentId w16cid:paraId="4960F797" w16cid:durableId="3BC67C72"/>
  <w16cid:commentId w16cid:paraId="7019189D" w16cid:durableId="59106234"/>
  <w16cid:commentId w16cid:paraId="5154A7AD" w16cid:durableId="504083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F6F45" w14:textId="77777777" w:rsidR="00C76CC7" w:rsidRDefault="00C76CC7" w:rsidP="00A6739B">
      <w:r>
        <w:separator/>
      </w:r>
    </w:p>
  </w:endnote>
  <w:endnote w:type="continuationSeparator" w:id="0">
    <w:p w14:paraId="35E1865D" w14:textId="77777777" w:rsidR="00C76CC7" w:rsidRDefault="00C76CC7" w:rsidP="00A6739B">
      <w:r>
        <w:continuationSeparator/>
      </w:r>
    </w:p>
  </w:endnote>
  <w:endnote w:type="continuationNotice" w:id="1">
    <w:p w14:paraId="335D41D4" w14:textId="77777777" w:rsidR="00C76CC7" w:rsidRDefault="00C76CC7" w:rsidP="00A67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82970" w14:textId="77777777" w:rsidR="000E1851" w:rsidRDefault="000E1851">
    <w:pPr>
      <w:pStyle w:val="Pidipagina"/>
    </w:pPr>
    <w:r>
      <w:rPr>
        <w:noProof/>
      </w:rPr>
      <mc:AlternateContent>
        <mc:Choice Requires="wps">
          <w:drawing>
            <wp:anchor distT="0" distB="0" distL="0" distR="0" simplePos="0" relativeHeight="251661824" behindDoc="0" locked="0" layoutInCell="1" allowOverlap="1" wp14:anchorId="35E3CF26" wp14:editId="7F8EA949">
              <wp:simplePos x="635" y="635"/>
              <wp:positionH relativeFrom="page">
                <wp:align>center</wp:align>
              </wp:positionH>
              <wp:positionV relativeFrom="page">
                <wp:align>bottom</wp:align>
              </wp:positionV>
              <wp:extent cx="443865" cy="443865"/>
              <wp:effectExtent l="0" t="0" r="8255" b="0"/>
              <wp:wrapNone/>
              <wp:docPr id="2069750196" name="Casella di testo 2" descr="Dati interni - Dati non personali">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1D73A1" w14:textId="77777777" w:rsidR="000E1851" w:rsidRPr="000E1851" w:rsidRDefault="000E1851" w:rsidP="000E1851">
                          <w:pPr>
                            <w:spacing w:after="0"/>
                            <w:rPr>
                              <w:rFonts w:ascii="Verdana" w:eastAsia="Verdana" w:hAnsi="Verdana" w:cs="Verdana"/>
                              <w:noProof/>
                              <w:color w:val="000000"/>
                              <w:sz w:val="16"/>
                              <w:szCs w:val="16"/>
                            </w:rPr>
                          </w:pPr>
                          <w:r w:rsidRPr="000E1851">
                            <w:rPr>
                              <w:rFonts w:ascii="Verdana" w:eastAsia="Verdana" w:hAnsi="Verdana" w:cs="Verdana"/>
                              <w:noProof/>
                              <w:color w:val="000000"/>
                              <w:sz w:val="16"/>
                              <w:szCs w:val="16"/>
                            </w:rPr>
                            <w:t>Dati interni - Dati non personali</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E3CF26" id="_x0000_t202" coordsize="21600,21600" o:spt="202" path="m,l,21600r21600,l21600,xe">
              <v:stroke joinstyle="miter"/>
              <v:path gradientshapeok="t" o:connecttype="rect"/>
            </v:shapetype>
            <v:shape id="Casella di testo 2" o:spid="_x0000_s1026" type="#_x0000_t202" alt="Dati interni - Dati non personali" style="position:absolute;left:0;text-align:left;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B1D73A1" w14:textId="77777777" w:rsidR="000E1851" w:rsidRPr="000E1851" w:rsidRDefault="000E1851" w:rsidP="000E1851">
                    <w:pPr>
                      <w:spacing w:after="0"/>
                      <w:rPr>
                        <w:rFonts w:ascii="Verdana" w:eastAsia="Verdana" w:hAnsi="Verdana" w:cs="Verdana"/>
                        <w:noProof/>
                        <w:color w:val="000000"/>
                        <w:sz w:val="16"/>
                        <w:szCs w:val="16"/>
                      </w:rPr>
                    </w:pPr>
                    <w:r w:rsidRPr="000E1851">
                      <w:rPr>
                        <w:rFonts w:ascii="Verdana" w:eastAsia="Verdana" w:hAnsi="Verdana" w:cs="Verdana"/>
                        <w:noProof/>
                        <w:color w:val="000000"/>
                        <w:sz w:val="16"/>
                        <w:szCs w:val="16"/>
                      </w:rPr>
                      <w:t>Dati interni - Dati non personali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86887" w14:textId="77777777" w:rsidR="00332537" w:rsidRDefault="00332537" w:rsidP="00AA13CA">
    <w:pPr>
      <w:pStyle w:val="Pidipagina"/>
      <w:pBdr>
        <w:top w:val="single" w:sz="4" w:space="1" w:color="auto"/>
      </w:pBdr>
      <w:tabs>
        <w:tab w:val="clear" w:pos="4819"/>
      </w:tabs>
      <w:spacing w:line="240" w:lineRule="auto"/>
      <w:rPr>
        <w:rFonts w:ascii="Calibri" w:hAnsi="Calibri"/>
        <w:sz w:val="16"/>
      </w:rPr>
    </w:pPr>
    <w:r w:rsidRPr="00A6739B">
      <w:rPr>
        <w:sz w:val="16"/>
      </w:rPr>
      <w:t>Classificazione documento: Consip Public</w:t>
    </w:r>
  </w:p>
  <w:p w14:paraId="5FAEDB15" w14:textId="77777777" w:rsidR="00332537" w:rsidRDefault="00332537" w:rsidP="00535E33">
    <w:pPr>
      <w:pStyle w:val="Pidipagina"/>
      <w:pBdr>
        <w:top w:val="single" w:sz="4" w:space="1" w:color="auto"/>
      </w:pBdr>
      <w:tabs>
        <w:tab w:val="clear" w:pos="4819"/>
      </w:tabs>
      <w:spacing w:line="240" w:lineRule="auto"/>
      <w:rPr>
        <w:sz w:val="16"/>
      </w:rPr>
    </w:pPr>
    <w:r w:rsidRPr="00303D47">
      <w:rPr>
        <w:rFonts w:ascii="Calibri" w:hAnsi="Calibri"/>
        <w:sz w:val="16"/>
      </w:rPr>
      <w:t xml:space="preserve">Consultazione </w:t>
    </w:r>
    <w:r>
      <w:rPr>
        <w:rFonts w:ascii="Calibri" w:hAnsi="Calibri"/>
        <w:sz w:val="16"/>
      </w:rPr>
      <w:t>di</w:t>
    </w:r>
    <w:r w:rsidRPr="00303D47">
      <w:rPr>
        <w:rFonts w:ascii="Calibri" w:hAnsi="Calibri"/>
        <w:sz w:val="16"/>
      </w:rPr>
      <w:t xml:space="preserve"> mercato per </w:t>
    </w:r>
    <w:r w:rsidR="00454E57" w:rsidRPr="00454E57">
      <w:rPr>
        <w:rFonts w:ascii="Calibri" w:hAnsi="Calibri"/>
        <w:sz w:val="16"/>
      </w:rPr>
      <w:t>l’affidamento dei servizi di monitoraggio per la Service Control Room di INAIL – ID 2765</w:t>
    </w:r>
  </w:p>
  <w:p w14:paraId="52179EE0" w14:textId="54086F94" w:rsidR="00751243" w:rsidRPr="00751243" w:rsidRDefault="00332537" w:rsidP="00751243">
    <w:pPr>
      <w:pStyle w:val="Pidipagina"/>
      <w:pBdr>
        <w:top w:val="single" w:sz="4" w:space="1" w:color="auto"/>
      </w:pBdr>
      <w:tabs>
        <w:tab w:val="clear" w:pos="4819"/>
      </w:tabs>
      <w:spacing w:line="240" w:lineRule="auto"/>
      <w:rPr>
        <w:sz w:val="16"/>
        <w:szCs w:val="16"/>
      </w:rPr>
    </w:pPr>
    <w:r>
      <w:rPr>
        <w:sz w:val="16"/>
      </w:rPr>
      <w:t>Consultazione di Mercato</w:t>
    </w:r>
    <w:r w:rsidR="00751243">
      <w:rPr>
        <w:sz w:val="16"/>
      </w:rPr>
      <w:tab/>
    </w:r>
    <w:sdt>
      <w:sdtPr>
        <w:rPr>
          <w:sz w:val="16"/>
          <w:szCs w:val="16"/>
        </w:rPr>
        <w:id w:val="-1769616900"/>
        <w:docPartObj>
          <w:docPartGallery w:val="Page Numbers (Top of Page)"/>
          <w:docPartUnique/>
        </w:docPartObj>
      </w:sdtPr>
      <w:sdtEndPr/>
      <w:sdtContent>
        <w:r w:rsidR="00751243" w:rsidRPr="00751243">
          <w:rPr>
            <w:sz w:val="16"/>
            <w:szCs w:val="16"/>
          </w:rPr>
          <w:t xml:space="preserve">Pag. </w:t>
        </w:r>
        <w:r w:rsidR="00751243" w:rsidRPr="00751243">
          <w:rPr>
            <w:b/>
            <w:bCs w:val="0"/>
            <w:sz w:val="16"/>
            <w:szCs w:val="16"/>
          </w:rPr>
          <w:fldChar w:fldCharType="begin"/>
        </w:r>
        <w:r w:rsidR="00751243" w:rsidRPr="00751243">
          <w:rPr>
            <w:b/>
            <w:sz w:val="16"/>
            <w:szCs w:val="16"/>
          </w:rPr>
          <w:instrText>PAGE</w:instrText>
        </w:r>
        <w:r w:rsidR="00751243" w:rsidRPr="00751243">
          <w:rPr>
            <w:b/>
            <w:bCs w:val="0"/>
            <w:sz w:val="16"/>
            <w:szCs w:val="16"/>
          </w:rPr>
          <w:fldChar w:fldCharType="separate"/>
        </w:r>
        <w:r w:rsidR="00FE465F">
          <w:rPr>
            <w:b/>
            <w:noProof/>
            <w:sz w:val="16"/>
            <w:szCs w:val="16"/>
          </w:rPr>
          <w:t>15</w:t>
        </w:r>
        <w:r w:rsidR="00751243" w:rsidRPr="00751243">
          <w:rPr>
            <w:b/>
            <w:bCs w:val="0"/>
            <w:sz w:val="16"/>
            <w:szCs w:val="16"/>
          </w:rPr>
          <w:fldChar w:fldCharType="end"/>
        </w:r>
        <w:r w:rsidR="00751243" w:rsidRPr="00751243">
          <w:rPr>
            <w:sz w:val="16"/>
            <w:szCs w:val="16"/>
          </w:rPr>
          <w:t xml:space="preserve"> a </w:t>
        </w:r>
        <w:r w:rsidR="00751243" w:rsidRPr="00751243">
          <w:rPr>
            <w:b/>
            <w:bCs w:val="0"/>
            <w:sz w:val="16"/>
            <w:szCs w:val="16"/>
          </w:rPr>
          <w:fldChar w:fldCharType="begin"/>
        </w:r>
        <w:r w:rsidR="00751243" w:rsidRPr="00751243">
          <w:rPr>
            <w:b/>
            <w:sz w:val="16"/>
            <w:szCs w:val="16"/>
          </w:rPr>
          <w:instrText>NUMPAGES</w:instrText>
        </w:r>
        <w:r w:rsidR="00751243" w:rsidRPr="00751243">
          <w:rPr>
            <w:b/>
            <w:bCs w:val="0"/>
            <w:sz w:val="16"/>
            <w:szCs w:val="16"/>
          </w:rPr>
          <w:fldChar w:fldCharType="separate"/>
        </w:r>
        <w:r w:rsidR="00FE465F">
          <w:rPr>
            <w:b/>
            <w:noProof/>
            <w:sz w:val="16"/>
            <w:szCs w:val="16"/>
          </w:rPr>
          <w:t>15</w:t>
        </w:r>
        <w:r w:rsidR="00751243" w:rsidRPr="00751243">
          <w:rPr>
            <w:b/>
            <w:bCs w:val="0"/>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247B" w14:textId="77777777" w:rsidR="00332537" w:rsidRPr="00A6739B" w:rsidRDefault="000E1851" w:rsidP="006A6D00">
    <w:pPr>
      <w:pStyle w:val="Pidipagina"/>
      <w:pBdr>
        <w:top w:val="single" w:sz="4" w:space="1" w:color="auto"/>
      </w:pBdr>
      <w:spacing w:line="240" w:lineRule="auto"/>
      <w:rPr>
        <w:sz w:val="16"/>
      </w:rPr>
    </w:pPr>
    <w:r>
      <w:rPr>
        <w:noProof/>
        <w:sz w:val="16"/>
      </w:rPr>
      <mc:AlternateContent>
        <mc:Choice Requires="wps">
          <w:drawing>
            <wp:anchor distT="0" distB="0" distL="0" distR="0" simplePos="0" relativeHeight="251660800" behindDoc="0" locked="0" layoutInCell="1" allowOverlap="1" wp14:anchorId="0AF472E9" wp14:editId="5EE8FC21">
              <wp:simplePos x="635" y="635"/>
              <wp:positionH relativeFrom="page">
                <wp:align>center</wp:align>
              </wp:positionH>
              <wp:positionV relativeFrom="page">
                <wp:align>bottom</wp:align>
              </wp:positionV>
              <wp:extent cx="443865" cy="443865"/>
              <wp:effectExtent l="0" t="0" r="8255" b="0"/>
              <wp:wrapNone/>
              <wp:docPr id="767452654" name="Casella di testo 1" descr="Dati interni - Dati non personali">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ED7BC3" w14:textId="77777777" w:rsidR="00A4176C" w:rsidRDefault="00A4176C"/>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F472E9" id="_x0000_t202" coordsize="21600,21600" o:spt="202" path="m,l,21600r21600,l21600,xe">
              <v:stroke joinstyle="miter"/>
              <v:path gradientshapeok="t" o:connecttype="rect"/>
            </v:shapetype>
            <v:shape id="Casella di testo 1" o:spid="_x0000_s1027" type="#_x0000_t202" alt="Dati interni - Dati non personali" style="position:absolute;left:0;text-align:left;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4ED7BC3" w14:textId="77777777" w:rsidR="00A4176C" w:rsidRDefault="00A4176C"/>
                </w:txbxContent>
              </v:textbox>
              <w10:wrap anchorx="page" anchory="page"/>
            </v:shape>
          </w:pict>
        </mc:Fallback>
      </mc:AlternateContent>
    </w:r>
    <w:r w:rsidR="00332537" w:rsidRPr="00A6739B">
      <w:rPr>
        <w:sz w:val="16"/>
      </w:rPr>
      <w:t>Consip S.p.A. a socio unico</w:t>
    </w:r>
  </w:p>
  <w:p w14:paraId="66D6369B" w14:textId="77777777" w:rsidR="00332537" w:rsidRPr="00A6739B" w:rsidRDefault="00332537" w:rsidP="006A6D00">
    <w:pPr>
      <w:pStyle w:val="Pidipagina"/>
      <w:spacing w:line="240" w:lineRule="auto"/>
      <w:rPr>
        <w:sz w:val="16"/>
      </w:rPr>
    </w:pPr>
    <w:r w:rsidRPr="00A6739B">
      <w:rPr>
        <w:sz w:val="16"/>
      </w:rPr>
      <w:t>Sede Legale: Via Isonzo 19/E – 00198 Roma</w:t>
    </w:r>
  </w:p>
  <w:p w14:paraId="42F9D3CA" w14:textId="77777777" w:rsidR="00332537" w:rsidRPr="00A6739B" w:rsidRDefault="00332537" w:rsidP="006A6D00">
    <w:pPr>
      <w:pStyle w:val="Pidipagina"/>
      <w:spacing w:line="240" w:lineRule="auto"/>
      <w:rPr>
        <w:sz w:val="16"/>
      </w:rPr>
    </w:pPr>
    <w:r w:rsidRPr="00A6739B">
      <w:rPr>
        <w:sz w:val="16"/>
      </w:rPr>
      <w:t>T +39 06 85449.1 – F +39 06 85449 281 – www.consip.it</w:t>
    </w:r>
  </w:p>
  <w:p w14:paraId="053ED36A" w14:textId="77777777" w:rsidR="00332537" w:rsidRPr="00A6739B" w:rsidRDefault="00332537" w:rsidP="006A6D00">
    <w:pPr>
      <w:pStyle w:val="Pidipagina"/>
      <w:spacing w:line="240" w:lineRule="auto"/>
      <w:rPr>
        <w:sz w:val="16"/>
      </w:rPr>
    </w:pPr>
    <w:r w:rsidRPr="00A6739B">
      <w:rPr>
        <w:sz w:val="16"/>
      </w:rPr>
      <w:t>Capitale Sociale € 5.200.000,00 i.v. C.F. e P.IVA 05359681003</w:t>
    </w:r>
  </w:p>
  <w:p w14:paraId="5641339E" w14:textId="77777777" w:rsidR="00332537" w:rsidRPr="00A6739B" w:rsidRDefault="00332537" w:rsidP="006A6D00">
    <w:pPr>
      <w:pStyle w:val="Pidipagina"/>
      <w:spacing w:line="240" w:lineRule="auto"/>
      <w:rPr>
        <w:sz w:val="16"/>
      </w:rPr>
    </w:pPr>
    <w:r w:rsidRPr="00A6739B">
      <w:rPr>
        <w:sz w:val="16"/>
      </w:rPr>
      <w:t>Iscr.Reg.Imp.c/o C.I.I.A. Roma 05359681003 Iscr.R.E.A. N.878407</w:t>
    </w:r>
    <w:r w:rsidRPr="00A6739B">
      <w:rPr>
        <w:rFonts w:ascii="Cambria" w:hAnsi="Cambria"/>
        <w:sz w:val="16"/>
      </w:rPr>
      <w:tab/>
    </w:r>
    <w:r w:rsidRPr="00A6739B">
      <w:rPr>
        <w:rFonts w:ascii="Cambria" w:hAnsi="Cambri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20440" w14:textId="77777777" w:rsidR="00C76CC7" w:rsidRDefault="00C76CC7" w:rsidP="00A6739B">
      <w:r>
        <w:separator/>
      </w:r>
    </w:p>
  </w:footnote>
  <w:footnote w:type="continuationSeparator" w:id="0">
    <w:p w14:paraId="6F8E3B16" w14:textId="77777777" w:rsidR="00C76CC7" w:rsidRDefault="00C76CC7" w:rsidP="00A6739B">
      <w:r>
        <w:continuationSeparator/>
      </w:r>
    </w:p>
  </w:footnote>
  <w:footnote w:type="continuationNotice" w:id="1">
    <w:p w14:paraId="77BA07F6" w14:textId="77777777" w:rsidR="00C76CC7" w:rsidRDefault="00C76CC7" w:rsidP="00A673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909D" w14:textId="77777777" w:rsidR="00332537" w:rsidRDefault="00332537" w:rsidP="00A6739B">
    <w:pPr>
      <w:pStyle w:val="Intestazione"/>
    </w:pPr>
    <w:r>
      <w:rPr>
        <w:noProof/>
      </w:rPr>
      <w:drawing>
        <wp:inline distT="0" distB="0" distL="0" distR="0" wp14:anchorId="7489232C" wp14:editId="4C17534F">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9726" w14:textId="77777777" w:rsidR="00332537" w:rsidRDefault="00332537" w:rsidP="00A6739B">
    <w:pPr>
      <w:pStyle w:val="Intestazione"/>
    </w:pPr>
    <w:r>
      <w:rPr>
        <w:noProof/>
      </w:rPr>
      <w:drawing>
        <wp:anchor distT="0" distB="0" distL="114300" distR="114300" simplePos="0" relativeHeight="251657728" behindDoc="1" locked="0" layoutInCell="1" allowOverlap="1" wp14:anchorId="1F015679" wp14:editId="115F2AAA">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5"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541478F"/>
    <w:multiLevelType w:val="hybridMultilevel"/>
    <w:tmpl w:val="E1D8B2F4"/>
    <w:lvl w:ilvl="0" w:tplc="88E8A348">
      <w:start w:val="1"/>
      <w:numFmt w:val="lowerLetter"/>
      <w:lvlText w:val="%1."/>
      <w:lvlJc w:val="left"/>
      <w:pPr>
        <w:ind w:left="1724" w:hanging="360"/>
      </w:pPr>
      <w:rPr>
        <w:rFonts w:hint="default"/>
        <w:sz w:val="20"/>
        <w:szCs w:val="20"/>
      </w:rPr>
    </w:lvl>
    <w:lvl w:ilvl="1" w:tplc="0410000D">
      <w:start w:val="1"/>
      <w:numFmt w:val="bullet"/>
      <w:lvlText w:val=""/>
      <w:lvlJc w:val="left"/>
      <w:pPr>
        <w:ind w:left="2444" w:hanging="360"/>
      </w:pPr>
      <w:rPr>
        <w:rFonts w:ascii="Wingdings" w:hAnsi="Wingdings"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 w15:restartNumberingAfterBreak="0">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0D6D6A"/>
    <w:multiLevelType w:val="hybridMultilevel"/>
    <w:tmpl w:val="80408718"/>
    <w:lvl w:ilvl="0" w:tplc="88E8A348">
      <w:start w:val="1"/>
      <w:numFmt w:val="lowerLetter"/>
      <w:lvlText w:val="%1."/>
      <w:lvlJc w:val="left"/>
      <w:pPr>
        <w:ind w:left="1724" w:hanging="360"/>
      </w:pPr>
      <w:rPr>
        <w:rFonts w:hint="default"/>
        <w:sz w:val="20"/>
        <w:szCs w:val="20"/>
      </w:rPr>
    </w:lvl>
    <w:lvl w:ilvl="1" w:tplc="04100003">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 w15:restartNumberingAfterBreak="0">
    <w:nsid w:val="11231713"/>
    <w:multiLevelType w:val="hybridMultilevel"/>
    <w:tmpl w:val="BD74A0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334AE6"/>
    <w:multiLevelType w:val="hybridMultilevel"/>
    <w:tmpl w:val="778A8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D02BEE"/>
    <w:multiLevelType w:val="hybridMultilevel"/>
    <w:tmpl w:val="5002B440"/>
    <w:lvl w:ilvl="0" w:tplc="22EAEB08">
      <w:start w:val="1"/>
      <w:numFmt w:val="decimal"/>
      <w:lvlText w:val="%1."/>
      <w:lvlJc w:val="left"/>
      <w:pPr>
        <w:ind w:left="1724" w:hanging="360"/>
      </w:pPr>
      <w:rPr>
        <w:rFonts w:ascii="Calibri" w:hAnsi="Calibri" w:hint="default"/>
        <w:sz w:val="20"/>
        <w:szCs w:val="20"/>
      </w:rPr>
    </w:lvl>
    <w:lvl w:ilvl="1" w:tplc="04100003">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7" w15:restartNumberingAfterBreak="0">
    <w:nsid w:val="16585360"/>
    <w:multiLevelType w:val="hybridMultilevel"/>
    <w:tmpl w:val="7DFEF858"/>
    <w:lvl w:ilvl="0" w:tplc="577A47EC">
      <w:start w:val="1"/>
      <w:numFmt w:val="bullet"/>
      <w:lvlText w:val="-"/>
      <w:lvlJc w:val="left"/>
      <w:pPr>
        <w:ind w:left="1428" w:hanging="360"/>
      </w:pPr>
      <w:rPr>
        <w:rFonts w:ascii="Calibri" w:hAnsi="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1ABC46F8"/>
    <w:multiLevelType w:val="hybridMultilevel"/>
    <w:tmpl w:val="A244B1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E80407C"/>
    <w:multiLevelType w:val="hybridMultilevel"/>
    <w:tmpl w:val="3806A030"/>
    <w:lvl w:ilvl="0" w:tplc="0410000D">
      <w:start w:val="1"/>
      <w:numFmt w:val="bullet"/>
      <w:lvlText w:val=""/>
      <w:lvlJc w:val="left"/>
      <w:pPr>
        <w:tabs>
          <w:tab w:val="num" w:pos="2520"/>
        </w:tabs>
        <w:ind w:left="2520" w:hanging="360"/>
      </w:pPr>
      <w:rPr>
        <w:rFonts w:ascii="Wingdings" w:hAnsi="Wingdings" w:hint="default"/>
      </w:rPr>
    </w:lvl>
    <w:lvl w:ilvl="1" w:tplc="3DCABA08">
      <w:start w:val="1"/>
      <w:numFmt w:val="bullet"/>
      <w:lvlText w:val="•"/>
      <w:lvlJc w:val="left"/>
      <w:pPr>
        <w:ind w:left="2145" w:hanging="705"/>
      </w:pPr>
      <w:rPr>
        <w:rFonts w:ascii="Calibri" w:eastAsia="Times New Roman" w:hAnsi="Calibri" w:cs="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3384A73"/>
    <w:multiLevelType w:val="hybridMultilevel"/>
    <w:tmpl w:val="B0E00878"/>
    <w:lvl w:ilvl="0" w:tplc="04100001">
      <w:start w:val="1"/>
      <w:numFmt w:val="bullet"/>
      <w:lvlText w:val=""/>
      <w:lvlJc w:val="left"/>
      <w:pPr>
        <w:tabs>
          <w:tab w:val="num" w:pos="2868"/>
        </w:tabs>
        <w:ind w:left="2868" w:hanging="360"/>
      </w:pPr>
      <w:rPr>
        <w:rFonts w:ascii="Symbol" w:hAnsi="Symbol" w:hint="default"/>
      </w:rPr>
    </w:lvl>
    <w:lvl w:ilvl="1" w:tplc="0410000D">
      <w:start w:val="1"/>
      <w:numFmt w:val="bullet"/>
      <w:lvlText w:val=""/>
      <w:lvlJc w:val="left"/>
      <w:pPr>
        <w:ind w:left="2148" w:hanging="360"/>
      </w:pPr>
      <w:rPr>
        <w:rFonts w:ascii="Wingdings" w:hAnsi="Wingdings"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24EB0E08"/>
    <w:multiLevelType w:val="hybridMultilevel"/>
    <w:tmpl w:val="1BD6342E"/>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261E18FA"/>
    <w:multiLevelType w:val="hybridMultilevel"/>
    <w:tmpl w:val="314C9228"/>
    <w:lvl w:ilvl="0" w:tplc="04100017">
      <w:start w:val="1"/>
      <w:numFmt w:val="lowerLetter"/>
      <w:lvlText w:val="%1)"/>
      <w:lvlJc w:val="left"/>
      <w:pPr>
        <w:ind w:left="720" w:hanging="360"/>
      </w:pPr>
      <w:rPr>
        <w:rFonts w:hint="default"/>
      </w:rPr>
    </w:lvl>
    <w:lvl w:ilvl="1" w:tplc="EE70E0CE">
      <w:start w:val="1"/>
      <w:numFmt w:val="bullet"/>
      <w:pStyle w:val="Bulletpointdentrotabella"/>
      <w:lvlText w:val="•"/>
      <w:lvlJc w:val="left"/>
      <w:pPr>
        <w:ind w:left="1785" w:hanging="705"/>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295D0F"/>
    <w:multiLevelType w:val="hybridMultilevel"/>
    <w:tmpl w:val="9B105B76"/>
    <w:lvl w:ilvl="0" w:tplc="04100001">
      <w:start w:val="1"/>
      <w:numFmt w:val="bullet"/>
      <w:lvlText w:val=""/>
      <w:lvlJc w:val="left"/>
      <w:pPr>
        <w:tabs>
          <w:tab w:val="num" w:pos="2868"/>
        </w:tabs>
        <w:ind w:left="286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2CC24BB9"/>
    <w:multiLevelType w:val="hybridMultilevel"/>
    <w:tmpl w:val="54D84ED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CF0D4B"/>
    <w:multiLevelType w:val="hybridMultilevel"/>
    <w:tmpl w:val="52724162"/>
    <w:lvl w:ilvl="0" w:tplc="0410000D">
      <w:start w:val="1"/>
      <w:numFmt w:val="bullet"/>
      <w:lvlText w:val=""/>
      <w:lvlJc w:val="left"/>
      <w:pPr>
        <w:tabs>
          <w:tab w:val="num" w:pos="2520"/>
        </w:tabs>
        <w:ind w:left="2520" w:hanging="360"/>
      </w:pPr>
      <w:rPr>
        <w:rFonts w:ascii="Wingdings" w:hAnsi="Wingdings" w:hint="default"/>
      </w:rPr>
    </w:lvl>
    <w:lvl w:ilvl="1" w:tplc="3DCABA08">
      <w:start w:val="1"/>
      <w:numFmt w:val="bullet"/>
      <w:lvlText w:val="•"/>
      <w:lvlJc w:val="left"/>
      <w:pPr>
        <w:ind w:left="2145" w:hanging="705"/>
      </w:pPr>
      <w:rPr>
        <w:rFonts w:ascii="Calibri" w:eastAsia="Times New Roman" w:hAnsi="Calibri" w:cs="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7A44DFC"/>
    <w:multiLevelType w:val="hybridMultilevel"/>
    <w:tmpl w:val="FDB80E3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7" w15:restartNumberingAfterBreak="0">
    <w:nsid w:val="37D368AC"/>
    <w:multiLevelType w:val="hybridMultilevel"/>
    <w:tmpl w:val="DAF4793C"/>
    <w:lvl w:ilvl="0" w:tplc="04100001">
      <w:start w:val="1"/>
      <w:numFmt w:val="bullet"/>
      <w:lvlText w:val=""/>
      <w:lvlJc w:val="left"/>
      <w:pPr>
        <w:tabs>
          <w:tab w:val="num" w:pos="2868"/>
        </w:tabs>
        <w:ind w:left="2868" w:hanging="360"/>
      </w:pPr>
      <w:rPr>
        <w:rFonts w:ascii="Symbol" w:hAnsi="Symbol" w:hint="default"/>
      </w:rPr>
    </w:lvl>
    <w:lvl w:ilvl="1" w:tplc="04100001">
      <w:start w:val="1"/>
      <w:numFmt w:val="bullet"/>
      <w:lvlText w:val=""/>
      <w:lvlJc w:val="left"/>
      <w:pPr>
        <w:ind w:left="2148" w:hanging="360"/>
      </w:pPr>
      <w:rPr>
        <w:rFonts w:ascii="Symbol" w:hAnsi="Symbol"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15:restartNumberingAfterBreak="0">
    <w:nsid w:val="38746A17"/>
    <w:multiLevelType w:val="hybridMultilevel"/>
    <w:tmpl w:val="61F20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651AD"/>
    <w:multiLevelType w:val="hybridMultilevel"/>
    <w:tmpl w:val="4EEE6E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E00F87"/>
    <w:multiLevelType w:val="hybridMultilevel"/>
    <w:tmpl w:val="DD860760"/>
    <w:lvl w:ilvl="0" w:tplc="04100001">
      <w:start w:val="1"/>
      <w:numFmt w:val="bullet"/>
      <w:lvlText w:val=""/>
      <w:lvlJc w:val="left"/>
      <w:pPr>
        <w:ind w:left="1046" w:hanging="360"/>
      </w:pPr>
      <w:rPr>
        <w:rFonts w:ascii="Symbol" w:hAnsi="Symbol" w:hint="default"/>
      </w:rPr>
    </w:lvl>
    <w:lvl w:ilvl="1" w:tplc="04100003" w:tentative="1">
      <w:start w:val="1"/>
      <w:numFmt w:val="bullet"/>
      <w:lvlText w:val="o"/>
      <w:lvlJc w:val="left"/>
      <w:pPr>
        <w:ind w:left="1766" w:hanging="360"/>
      </w:pPr>
      <w:rPr>
        <w:rFonts w:ascii="Courier New" w:hAnsi="Courier New" w:cs="Courier New" w:hint="default"/>
      </w:rPr>
    </w:lvl>
    <w:lvl w:ilvl="2" w:tplc="04100005" w:tentative="1">
      <w:start w:val="1"/>
      <w:numFmt w:val="bullet"/>
      <w:lvlText w:val=""/>
      <w:lvlJc w:val="left"/>
      <w:pPr>
        <w:ind w:left="2486" w:hanging="360"/>
      </w:pPr>
      <w:rPr>
        <w:rFonts w:ascii="Wingdings" w:hAnsi="Wingdings" w:hint="default"/>
      </w:rPr>
    </w:lvl>
    <w:lvl w:ilvl="3" w:tplc="04100001" w:tentative="1">
      <w:start w:val="1"/>
      <w:numFmt w:val="bullet"/>
      <w:lvlText w:val=""/>
      <w:lvlJc w:val="left"/>
      <w:pPr>
        <w:ind w:left="3206" w:hanging="360"/>
      </w:pPr>
      <w:rPr>
        <w:rFonts w:ascii="Symbol" w:hAnsi="Symbol" w:hint="default"/>
      </w:rPr>
    </w:lvl>
    <w:lvl w:ilvl="4" w:tplc="04100003" w:tentative="1">
      <w:start w:val="1"/>
      <w:numFmt w:val="bullet"/>
      <w:lvlText w:val="o"/>
      <w:lvlJc w:val="left"/>
      <w:pPr>
        <w:ind w:left="3926" w:hanging="360"/>
      </w:pPr>
      <w:rPr>
        <w:rFonts w:ascii="Courier New" w:hAnsi="Courier New" w:cs="Courier New" w:hint="default"/>
      </w:rPr>
    </w:lvl>
    <w:lvl w:ilvl="5" w:tplc="04100005" w:tentative="1">
      <w:start w:val="1"/>
      <w:numFmt w:val="bullet"/>
      <w:lvlText w:val=""/>
      <w:lvlJc w:val="left"/>
      <w:pPr>
        <w:ind w:left="4646" w:hanging="360"/>
      </w:pPr>
      <w:rPr>
        <w:rFonts w:ascii="Wingdings" w:hAnsi="Wingdings" w:hint="default"/>
      </w:rPr>
    </w:lvl>
    <w:lvl w:ilvl="6" w:tplc="04100001" w:tentative="1">
      <w:start w:val="1"/>
      <w:numFmt w:val="bullet"/>
      <w:lvlText w:val=""/>
      <w:lvlJc w:val="left"/>
      <w:pPr>
        <w:ind w:left="5366" w:hanging="360"/>
      </w:pPr>
      <w:rPr>
        <w:rFonts w:ascii="Symbol" w:hAnsi="Symbol" w:hint="default"/>
      </w:rPr>
    </w:lvl>
    <w:lvl w:ilvl="7" w:tplc="04100003" w:tentative="1">
      <w:start w:val="1"/>
      <w:numFmt w:val="bullet"/>
      <w:lvlText w:val="o"/>
      <w:lvlJc w:val="left"/>
      <w:pPr>
        <w:ind w:left="6086" w:hanging="360"/>
      </w:pPr>
      <w:rPr>
        <w:rFonts w:ascii="Courier New" w:hAnsi="Courier New" w:cs="Courier New" w:hint="default"/>
      </w:rPr>
    </w:lvl>
    <w:lvl w:ilvl="8" w:tplc="04100005" w:tentative="1">
      <w:start w:val="1"/>
      <w:numFmt w:val="bullet"/>
      <w:lvlText w:val=""/>
      <w:lvlJc w:val="left"/>
      <w:pPr>
        <w:ind w:left="6806" w:hanging="360"/>
      </w:pPr>
      <w:rPr>
        <w:rFonts w:ascii="Wingdings" w:hAnsi="Wingdings" w:hint="default"/>
      </w:rPr>
    </w:lvl>
  </w:abstractNum>
  <w:abstractNum w:abstractNumId="2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15:restartNumberingAfterBreak="0">
    <w:nsid w:val="44397F74"/>
    <w:multiLevelType w:val="hybridMultilevel"/>
    <w:tmpl w:val="D6BA5068"/>
    <w:lvl w:ilvl="0" w:tplc="F03CCBC8">
      <w:start w:val="1"/>
      <w:numFmt w:val="decimal"/>
      <w:lvlText w:val="%1."/>
      <w:lvlJc w:val="left"/>
      <w:pPr>
        <w:ind w:left="1724" w:hanging="360"/>
      </w:pPr>
      <w:rPr>
        <w:rFonts w:ascii="Calibri" w:hAnsi="Calibri" w:hint="default"/>
        <w:sz w:val="20"/>
        <w:szCs w:val="20"/>
      </w:rPr>
    </w:lvl>
    <w:lvl w:ilvl="1" w:tplc="04100003">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3" w15:restartNumberingAfterBreak="0">
    <w:nsid w:val="44D55A2C"/>
    <w:multiLevelType w:val="hybridMultilevel"/>
    <w:tmpl w:val="43CAF3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D9D455F"/>
    <w:multiLevelType w:val="hybridMultilevel"/>
    <w:tmpl w:val="413892E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52D02F94"/>
    <w:multiLevelType w:val="hybridMultilevel"/>
    <w:tmpl w:val="FC3E87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F06D8A"/>
    <w:multiLevelType w:val="hybridMultilevel"/>
    <w:tmpl w:val="4D16D8CA"/>
    <w:lvl w:ilvl="0" w:tplc="04100001">
      <w:start w:val="1"/>
      <w:numFmt w:val="bullet"/>
      <w:lvlText w:val=""/>
      <w:lvlJc w:val="left"/>
      <w:pPr>
        <w:ind w:left="1724" w:hanging="360"/>
      </w:pPr>
      <w:rPr>
        <w:rFonts w:ascii="Symbol" w:hAnsi="Symbol" w:hint="default"/>
      </w:rPr>
    </w:lvl>
    <w:lvl w:ilvl="1" w:tplc="04100013">
      <w:start w:val="1"/>
      <w:numFmt w:val="upperRoman"/>
      <w:lvlText w:val="%2."/>
      <w:lvlJc w:val="right"/>
      <w:pPr>
        <w:ind w:left="2444" w:hanging="360"/>
      </w:pPr>
      <w:rPr>
        <w:rFonts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8" w15:restartNumberingAfterBreak="0">
    <w:nsid w:val="5D7F0DFE"/>
    <w:multiLevelType w:val="hybridMultilevel"/>
    <w:tmpl w:val="1DB86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EB5BC6"/>
    <w:multiLevelType w:val="hybridMultilevel"/>
    <w:tmpl w:val="A6F20338"/>
    <w:lvl w:ilvl="0" w:tplc="04100001">
      <w:start w:val="1"/>
      <w:numFmt w:val="bullet"/>
      <w:lvlText w:val=""/>
      <w:lvlJc w:val="left"/>
      <w:pPr>
        <w:ind w:left="1724" w:hanging="360"/>
      </w:pPr>
      <w:rPr>
        <w:rFonts w:ascii="Symbol" w:hAnsi="Symbol" w:hint="default"/>
      </w:rPr>
    </w:lvl>
    <w:lvl w:ilvl="1" w:tplc="04100003">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0" w15:restartNumberingAfterBreak="0">
    <w:nsid w:val="65314DE7"/>
    <w:multiLevelType w:val="hybridMultilevel"/>
    <w:tmpl w:val="BECACC9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83762AF"/>
    <w:multiLevelType w:val="hybridMultilevel"/>
    <w:tmpl w:val="3F983E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8EB47D9"/>
    <w:multiLevelType w:val="hybridMultilevel"/>
    <w:tmpl w:val="349481D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3" w15:restartNumberingAfterBreak="0">
    <w:nsid w:val="6A1A37BF"/>
    <w:multiLevelType w:val="hybridMultilevel"/>
    <w:tmpl w:val="2ECE0372"/>
    <w:lvl w:ilvl="0" w:tplc="0410000D">
      <w:start w:val="1"/>
      <w:numFmt w:val="bullet"/>
      <w:lvlText w:val=""/>
      <w:lvlJc w:val="left"/>
      <w:pPr>
        <w:ind w:left="1080" w:hanging="360"/>
      </w:pPr>
      <w:rPr>
        <w:rFonts w:ascii="Wingdings" w:hAnsi="Wingdings" w:hint="default"/>
      </w:rPr>
    </w:lvl>
    <w:lvl w:ilvl="1" w:tplc="7A30EFB6">
      <w:numFmt w:val="bullet"/>
      <w:lvlText w:val="•"/>
      <w:lvlJc w:val="left"/>
      <w:pPr>
        <w:ind w:left="2150" w:hanging="710"/>
      </w:pPr>
      <w:rPr>
        <w:rFonts w:ascii="Calibri" w:eastAsia="Times New Roman" w:hAnsi="Calibri" w:cs="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6AB742AE"/>
    <w:multiLevelType w:val="hybridMultilevel"/>
    <w:tmpl w:val="F02E9CD8"/>
    <w:lvl w:ilvl="0" w:tplc="04100001">
      <w:start w:val="1"/>
      <w:numFmt w:val="bullet"/>
      <w:lvlText w:val=""/>
      <w:lvlJc w:val="left"/>
      <w:pPr>
        <w:ind w:left="720" w:hanging="360"/>
      </w:pPr>
      <w:rPr>
        <w:rFonts w:ascii="Symbol" w:hAnsi="Symbol" w:hint="default"/>
      </w:rPr>
    </w:lvl>
    <w:lvl w:ilvl="1" w:tplc="A0F8DF9A">
      <w:numFmt w:val="bullet"/>
      <w:lvlText w:val="•"/>
      <w:lvlJc w:val="left"/>
      <w:pPr>
        <w:ind w:left="1785" w:hanging="705"/>
      </w:pPr>
      <w:rPr>
        <w:rFonts w:ascii="Calibri" w:eastAsiaTheme="minorHAnsi"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6E700A38"/>
    <w:multiLevelType w:val="hybridMultilevel"/>
    <w:tmpl w:val="04F0B65A"/>
    <w:lvl w:ilvl="0" w:tplc="B60EE85E">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70315776"/>
    <w:multiLevelType w:val="hybridMultilevel"/>
    <w:tmpl w:val="2D3A9756"/>
    <w:lvl w:ilvl="0" w:tplc="04100001">
      <w:start w:val="1"/>
      <w:numFmt w:val="bullet"/>
      <w:lvlText w:val=""/>
      <w:lvlJc w:val="left"/>
      <w:pPr>
        <w:tabs>
          <w:tab w:val="num" w:pos="2520"/>
        </w:tabs>
        <w:ind w:left="2520" w:hanging="360"/>
      </w:pPr>
      <w:rPr>
        <w:rFonts w:ascii="Symbol" w:hAnsi="Symbol" w:hint="default"/>
      </w:rPr>
    </w:lvl>
    <w:lvl w:ilvl="1" w:tplc="3DCABA08">
      <w:start w:val="1"/>
      <w:numFmt w:val="bullet"/>
      <w:lvlText w:val="•"/>
      <w:lvlJc w:val="left"/>
      <w:pPr>
        <w:ind w:left="2145" w:hanging="705"/>
      </w:pPr>
      <w:rPr>
        <w:rFonts w:ascii="Calibri" w:eastAsia="Times New Roman" w:hAnsi="Calibri" w:cs="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07B655C"/>
    <w:multiLevelType w:val="hybridMultilevel"/>
    <w:tmpl w:val="EF006D98"/>
    <w:lvl w:ilvl="0" w:tplc="E5FEF05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15:restartNumberingAfterBreak="0">
    <w:nsid w:val="71E64D76"/>
    <w:multiLevelType w:val="hybridMultilevel"/>
    <w:tmpl w:val="CE8662FC"/>
    <w:lvl w:ilvl="0" w:tplc="C4187528">
      <w:start w:val="1"/>
      <w:numFmt w:val="decimal"/>
      <w:lvlText w:val="%1."/>
      <w:lvlJc w:val="left"/>
      <w:pPr>
        <w:ind w:left="502"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0" w15:restartNumberingAfterBreak="0">
    <w:nsid w:val="73F131B7"/>
    <w:multiLevelType w:val="hybridMultilevel"/>
    <w:tmpl w:val="DC568EB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1" w15:restartNumberingAfterBreak="0">
    <w:nsid w:val="76BA0C00"/>
    <w:multiLevelType w:val="hybridMultilevel"/>
    <w:tmpl w:val="11DA5E46"/>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75604D"/>
    <w:multiLevelType w:val="hybridMultilevel"/>
    <w:tmpl w:val="869CAE1A"/>
    <w:lvl w:ilvl="0" w:tplc="04100001">
      <w:start w:val="1"/>
      <w:numFmt w:val="bullet"/>
      <w:lvlText w:val=""/>
      <w:lvlJc w:val="left"/>
      <w:pPr>
        <w:ind w:left="1724" w:hanging="360"/>
      </w:pPr>
      <w:rPr>
        <w:rFonts w:ascii="Symbol" w:hAnsi="Symbol" w:hint="default"/>
      </w:rPr>
    </w:lvl>
    <w:lvl w:ilvl="1" w:tplc="04100019">
      <w:start w:val="1"/>
      <w:numFmt w:val="lowerLetter"/>
      <w:lvlText w:val="%2."/>
      <w:lvlJc w:val="left"/>
      <w:pPr>
        <w:ind w:left="2444" w:hanging="360"/>
      </w:pPr>
      <w:rPr>
        <w:rFonts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3" w15:restartNumberingAfterBreak="0">
    <w:nsid w:val="7B541FD8"/>
    <w:multiLevelType w:val="hybridMultilevel"/>
    <w:tmpl w:val="D1FADA54"/>
    <w:lvl w:ilvl="0" w:tplc="25186430">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D173D6C"/>
    <w:multiLevelType w:val="hybridMultilevel"/>
    <w:tmpl w:val="4C20C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DC252DF"/>
    <w:multiLevelType w:val="hybridMultilevel"/>
    <w:tmpl w:val="188C0DAC"/>
    <w:lvl w:ilvl="0" w:tplc="04100019">
      <w:start w:val="1"/>
      <w:numFmt w:val="lowerLetter"/>
      <w:lvlText w:val="%1."/>
      <w:lvlJc w:val="left"/>
      <w:pPr>
        <w:ind w:left="1724" w:hanging="360"/>
      </w:pPr>
      <w:rPr>
        <w:rFonts w:hint="default"/>
        <w:sz w:val="20"/>
        <w:szCs w:val="20"/>
      </w:rPr>
    </w:lvl>
    <w:lvl w:ilvl="1" w:tplc="04100003">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num w:numId="1">
    <w:abstractNumId w:val="0"/>
  </w:num>
  <w:num w:numId="2">
    <w:abstractNumId w:val="24"/>
  </w:num>
  <w:num w:numId="3">
    <w:abstractNumId w:val="36"/>
  </w:num>
  <w:num w:numId="4">
    <w:abstractNumId w:val="21"/>
  </w:num>
  <w:num w:numId="5">
    <w:abstractNumId w:val="39"/>
  </w:num>
  <w:num w:numId="6">
    <w:abstractNumId w:val="2"/>
  </w:num>
  <w:num w:numId="7">
    <w:abstractNumId w:val="21"/>
  </w:num>
  <w:num w:numId="8">
    <w:abstractNumId w:val="21"/>
  </w:num>
  <w:num w:numId="9">
    <w:abstractNumId w:val="8"/>
  </w:num>
  <w:num w:numId="10">
    <w:abstractNumId w:val="16"/>
  </w:num>
  <w:num w:numId="11">
    <w:abstractNumId w:val="19"/>
  </w:num>
  <w:num w:numId="12">
    <w:abstractNumId w:val="40"/>
  </w:num>
  <w:num w:numId="13">
    <w:abstractNumId w:val="11"/>
  </w:num>
  <w:num w:numId="14">
    <w:abstractNumId w:val="29"/>
  </w:num>
  <w:num w:numId="15">
    <w:abstractNumId w:val="6"/>
  </w:num>
  <w:num w:numId="16">
    <w:abstractNumId w:val="22"/>
  </w:num>
  <w:num w:numId="17">
    <w:abstractNumId w:val="42"/>
  </w:num>
  <w:num w:numId="18">
    <w:abstractNumId w:val="3"/>
  </w:num>
  <w:num w:numId="19">
    <w:abstractNumId w:val="27"/>
  </w:num>
  <w:num w:numId="20">
    <w:abstractNumId w:val="45"/>
  </w:num>
  <w:num w:numId="21">
    <w:abstractNumId w:val="1"/>
  </w:num>
  <w:num w:numId="22">
    <w:abstractNumId w:val="38"/>
  </w:num>
  <w:num w:numId="23">
    <w:abstractNumId w:val="23"/>
  </w:num>
  <w:num w:numId="24">
    <w:abstractNumId w:val="26"/>
  </w:num>
  <w:num w:numId="25">
    <w:abstractNumId w:val="4"/>
  </w:num>
  <w:num w:numId="26">
    <w:abstractNumId w:val="25"/>
  </w:num>
  <w:num w:numId="27">
    <w:abstractNumId w:val="12"/>
  </w:num>
  <w:num w:numId="28">
    <w:abstractNumId w:val="32"/>
  </w:num>
  <w:num w:numId="29">
    <w:abstractNumId w:val="7"/>
  </w:num>
  <w:num w:numId="30">
    <w:abstractNumId w:val="37"/>
  </w:num>
  <w:num w:numId="31">
    <w:abstractNumId w:val="13"/>
  </w:num>
  <w:num w:numId="32">
    <w:abstractNumId w:val="17"/>
  </w:num>
  <w:num w:numId="33">
    <w:abstractNumId w:val="18"/>
  </w:num>
  <w:num w:numId="34">
    <w:abstractNumId w:val="35"/>
  </w:num>
  <w:num w:numId="35">
    <w:abstractNumId w:val="33"/>
  </w:num>
  <w:num w:numId="36">
    <w:abstractNumId w:val="14"/>
  </w:num>
  <w:num w:numId="37">
    <w:abstractNumId w:val="41"/>
  </w:num>
  <w:num w:numId="38">
    <w:abstractNumId w:val="15"/>
  </w:num>
  <w:num w:numId="39">
    <w:abstractNumId w:val="9"/>
  </w:num>
  <w:num w:numId="40">
    <w:abstractNumId w:val="10"/>
  </w:num>
  <w:num w:numId="41">
    <w:abstractNumId w:val="31"/>
  </w:num>
  <w:num w:numId="42">
    <w:abstractNumId w:val="5"/>
  </w:num>
  <w:num w:numId="43">
    <w:abstractNumId w:val="34"/>
  </w:num>
  <w:num w:numId="44">
    <w:abstractNumId w:val="20"/>
  </w:num>
  <w:num w:numId="45">
    <w:abstractNumId w:val="28"/>
  </w:num>
  <w:num w:numId="46">
    <w:abstractNumId w:val="44"/>
  </w:num>
  <w:num w:numId="47">
    <w:abstractNumId w:val="43"/>
  </w:num>
  <w:num w:numId="4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242D"/>
    <w:rsid w:val="00014B21"/>
    <w:rsid w:val="0001653A"/>
    <w:rsid w:val="0003306E"/>
    <w:rsid w:val="00034F32"/>
    <w:rsid w:val="00035887"/>
    <w:rsid w:val="000506E6"/>
    <w:rsid w:val="000532A7"/>
    <w:rsid w:val="0006375D"/>
    <w:rsid w:val="000A015A"/>
    <w:rsid w:val="000B25E7"/>
    <w:rsid w:val="000D53F7"/>
    <w:rsid w:val="000E1851"/>
    <w:rsid w:val="001009E4"/>
    <w:rsid w:val="001121F0"/>
    <w:rsid w:val="00115085"/>
    <w:rsid w:val="00115A03"/>
    <w:rsid w:val="00115D41"/>
    <w:rsid w:val="001226AD"/>
    <w:rsid w:val="00145B47"/>
    <w:rsid w:val="0015018D"/>
    <w:rsid w:val="00161E93"/>
    <w:rsid w:val="0016201F"/>
    <w:rsid w:val="00163692"/>
    <w:rsid w:val="00174A3D"/>
    <w:rsid w:val="001756E0"/>
    <w:rsid w:val="00175977"/>
    <w:rsid w:val="0019676B"/>
    <w:rsid w:val="001C5552"/>
    <w:rsid w:val="001D2BEA"/>
    <w:rsid w:val="001D486D"/>
    <w:rsid w:val="001F7E2A"/>
    <w:rsid w:val="00203B05"/>
    <w:rsid w:val="0020548D"/>
    <w:rsid w:val="002350D3"/>
    <w:rsid w:val="00243653"/>
    <w:rsid w:val="00244A4F"/>
    <w:rsid w:val="0024764E"/>
    <w:rsid w:val="00254020"/>
    <w:rsid w:val="00255C05"/>
    <w:rsid w:val="00256A22"/>
    <w:rsid w:val="00260F70"/>
    <w:rsid w:val="00262CA0"/>
    <w:rsid w:val="002672A9"/>
    <w:rsid w:val="002860A1"/>
    <w:rsid w:val="00292675"/>
    <w:rsid w:val="002B6A76"/>
    <w:rsid w:val="002C29AB"/>
    <w:rsid w:val="002D738F"/>
    <w:rsid w:val="002E43EE"/>
    <w:rsid w:val="002E6AEB"/>
    <w:rsid w:val="0030263C"/>
    <w:rsid w:val="00303D47"/>
    <w:rsid w:val="003042EB"/>
    <w:rsid w:val="003121AC"/>
    <w:rsid w:val="00312C9F"/>
    <w:rsid w:val="003130FF"/>
    <w:rsid w:val="003172EA"/>
    <w:rsid w:val="00331F46"/>
    <w:rsid w:val="00332537"/>
    <w:rsid w:val="00345BB6"/>
    <w:rsid w:val="00353362"/>
    <w:rsid w:val="00356EC2"/>
    <w:rsid w:val="00360025"/>
    <w:rsid w:val="003616DF"/>
    <w:rsid w:val="00367674"/>
    <w:rsid w:val="00375EAB"/>
    <w:rsid w:val="00387EB0"/>
    <w:rsid w:val="00393611"/>
    <w:rsid w:val="00393996"/>
    <w:rsid w:val="003B1B5A"/>
    <w:rsid w:val="003B39F2"/>
    <w:rsid w:val="003D05FC"/>
    <w:rsid w:val="003E1B09"/>
    <w:rsid w:val="003E3520"/>
    <w:rsid w:val="0040487A"/>
    <w:rsid w:val="00411730"/>
    <w:rsid w:val="0042153D"/>
    <w:rsid w:val="0042239F"/>
    <w:rsid w:val="004223F8"/>
    <w:rsid w:val="0043116D"/>
    <w:rsid w:val="0043301D"/>
    <w:rsid w:val="00434DFA"/>
    <w:rsid w:val="00441602"/>
    <w:rsid w:val="0044578B"/>
    <w:rsid w:val="00446FAE"/>
    <w:rsid w:val="004542A1"/>
    <w:rsid w:val="00454E57"/>
    <w:rsid w:val="004577B5"/>
    <w:rsid w:val="004654B5"/>
    <w:rsid w:val="004701A6"/>
    <w:rsid w:val="004720A8"/>
    <w:rsid w:val="00480A3C"/>
    <w:rsid w:val="004840CD"/>
    <w:rsid w:val="00490BE1"/>
    <w:rsid w:val="004A0D12"/>
    <w:rsid w:val="004A1FB9"/>
    <w:rsid w:val="004A4F24"/>
    <w:rsid w:val="004A5686"/>
    <w:rsid w:val="004C5A9E"/>
    <w:rsid w:val="004D1072"/>
    <w:rsid w:val="004D2E6D"/>
    <w:rsid w:val="004E41AC"/>
    <w:rsid w:val="004E463A"/>
    <w:rsid w:val="004E4EFE"/>
    <w:rsid w:val="004E71C7"/>
    <w:rsid w:val="004F2616"/>
    <w:rsid w:val="004F79C0"/>
    <w:rsid w:val="00506348"/>
    <w:rsid w:val="00506552"/>
    <w:rsid w:val="00535E33"/>
    <w:rsid w:val="00554F2F"/>
    <w:rsid w:val="005655FA"/>
    <w:rsid w:val="0057183C"/>
    <w:rsid w:val="0057638B"/>
    <w:rsid w:val="0059277D"/>
    <w:rsid w:val="00594838"/>
    <w:rsid w:val="0059746C"/>
    <w:rsid w:val="005B2310"/>
    <w:rsid w:val="005B2D4E"/>
    <w:rsid w:val="005B7EDF"/>
    <w:rsid w:val="005C6F1F"/>
    <w:rsid w:val="005E7845"/>
    <w:rsid w:val="0060058E"/>
    <w:rsid w:val="00603601"/>
    <w:rsid w:val="00606585"/>
    <w:rsid w:val="00620576"/>
    <w:rsid w:val="00620F42"/>
    <w:rsid w:val="00634F00"/>
    <w:rsid w:val="00653D4B"/>
    <w:rsid w:val="00661F03"/>
    <w:rsid w:val="006620E4"/>
    <w:rsid w:val="00670A20"/>
    <w:rsid w:val="0067151E"/>
    <w:rsid w:val="00685DAD"/>
    <w:rsid w:val="00686468"/>
    <w:rsid w:val="00687067"/>
    <w:rsid w:val="006926B5"/>
    <w:rsid w:val="00694566"/>
    <w:rsid w:val="006955D1"/>
    <w:rsid w:val="006A6D00"/>
    <w:rsid w:val="006B3B06"/>
    <w:rsid w:val="006B4F12"/>
    <w:rsid w:val="006C07D9"/>
    <w:rsid w:val="006C414B"/>
    <w:rsid w:val="006C437B"/>
    <w:rsid w:val="006F091D"/>
    <w:rsid w:val="006F0D46"/>
    <w:rsid w:val="006F3740"/>
    <w:rsid w:val="006F6DCB"/>
    <w:rsid w:val="006F7E00"/>
    <w:rsid w:val="00702F52"/>
    <w:rsid w:val="00704142"/>
    <w:rsid w:val="00705991"/>
    <w:rsid w:val="00707F22"/>
    <w:rsid w:val="00710BFB"/>
    <w:rsid w:val="00715B53"/>
    <w:rsid w:val="00743AF8"/>
    <w:rsid w:val="00751243"/>
    <w:rsid w:val="00753897"/>
    <w:rsid w:val="00756E6E"/>
    <w:rsid w:val="0076591A"/>
    <w:rsid w:val="00776E8E"/>
    <w:rsid w:val="007877B5"/>
    <w:rsid w:val="00791338"/>
    <w:rsid w:val="007968E5"/>
    <w:rsid w:val="007A0869"/>
    <w:rsid w:val="007A4C83"/>
    <w:rsid w:val="007C489A"/>
    <w:rsid w:val="007C7EAB"/>
    <w:rsid w:val="007D0B2A"/>
    <w:rsid w:val="007F0F41"/>
    <w:rsid w:val="007F263D"/>
    <w:rsid w:val="007F379B"/>
    <w:rsid w:val="00804511"/>
    <w:rsid w:val="00812A0A"/>
    <w:rsid w:val="00813595"/>
    <w:rsid w:val="008167F9"/>
    <w:rsid w:val="00821213"/>
    <w:rsid w:val="00823120"/>
    <w:rsid w:val="008231F5"/>
    <w:rsid w:val="008431DC"/>
    <w:rsid w:val="00843764"/>
    <w:rsid w:val="00844B2D"/>
    <w:rsid w:val="00846159"/>
    <w:rsid w:val="00846288"/>
    <w:rsid w:val="008532E0"/>
    <w:rsid w:val="00854464"/>
    <w:rsid w:val="00857E2B"/>
    <w:rsid w:val="00865421"/>
    <w:rsid w:val="008717C2"/>
    <w:rsid w:val="0088572C"/>
    <w:rsid w:val="00887512"/>
    <w:rsid w:val="00894552"/>
    <w:rsid w:val="008A0BD9"/>
    <w:rsid w:val="008A44B4"/>
    <w:rsid w:val="008A6C32"/>
    <w:rsid w:val="008B1966"/>
    <w:rsid w:val="008B4AE6"/>
    <w:rsid w:val="008B7C75"/>
    <w:rsid w:val="008C0194"/>
    <w:rsid w:val="008C4C79"/>
    <w:rsid w:val="008F541B"/>
    <w:rsid w:val="00913741"/>
    <w:rsid w:val="00930564"/>
    <w:rsid w:val="00943566"/>
    <w:rsid w:val="00944105"/>
    <w:rsid w:val="00955C73"/>
    <w:rsid w:val="009660FB"/>
    <w:rsid w:val="0097255B"/>
    <w:rsid w:val="00974151"/>
    <w:rsid w:val="009909CF"/>
    <w:rsid w:val="00996869"/>
    <w:rsid w:val="009A7610"/>
    <w:rsid w:val="009C2FF3"/>
    <w:rsid w:val="009C545B"/>
    <w:rsid w:val="009C6ABC"/>
    <w:rsid w:val="009E2F78"/>
    <w:rsid w:val="00A03705"/>
    <w:rsid w:val="00A03D37"/>
    <w:rsid w:val="00A15A7F"/>
    <w:rsid w:val="00A16C85"/>
    <w:rsid w:val="00A30A32"/>
    <w:rsid w:val="00A378A1"/>
    <w:rsid w:val="00A4176C"/>
    <w:rsid w:val="00A425AD"/>
    <w:rsid w:val="00A45B3A"/>
    <w:rsid w:val="00A47C0C"/>
    <w:rsid w:val="00A5729A"/>
    <w:rsid w:val="00A6739B"/>
    <w:rsid w:val="00A674B4"/>
    <w:rsid w:val="00A764C0"/>
    <w:rsid w:val="00A77669"/>
    <w:rsid w:val="00A82C5B"/>
    <w:rsid w:val="00A95A77"/>
    <w:rsid w:val="00A963CF"/>
    <w:rsid w:val="00A97D2A"/>
    <w:rsid w:val="00AA13CA"/>
    <w:rsid w:val="00AA1EE3"/>
    <w:rsid w:val="00AA2855"/>
    <w:rsid w:val="00AA2FD0"/>
    <w:rsid w:val="00AA3E6F"/>
    <w:rsid w:val="00AA7587"/>
    <w:rsid w:val="00AE28C3"/>
    <w:rsid w:val="00AE2C2C"/>
    <w:rsid w:val="00AF275B"/>
    <w:rsid w:val="00AF7473"/>
    <w:rsid w:val="00B01835"/>
    <w:rsid w:val="00B1111A"/>
    <w:rsid w:val="00B15474"/>
    <w:rsid w:val="00B278B9"/>
    <w:rsid w:val="00B376CD"/>
    <w:rsid w:val="00B7019F"/>
    <w:rsid w:val="00B71F68"/>
    <w:rsid w:val="00B737F8"/>
    <w:rsid w:val="00B81DCD"/>
    <w:rsid w:val="00B85345"/>
    <w:rsid w:val="00BA6254"/>
    <w:rsid w:val="00BB341E"/>
    <w:rsid w:val="00BD32C0"/>
    <w:rsid w:val="00BE37C1"/>
    <w:rsid w:val="00C00553"/>
    <w:rsid w:val="00C05A49"/>
    <w:rsid w:val="00C219BD"/>
    <w:rsid w:val="00C23AC6"/>
    <w:rsid w:val="00C448AA"/>
    <w:rsid w:val="00C4572A"/>
    <w:rsid w:val="00C541DD"/>
    <w:rsid w:val="00C74DC5"/>
    <w:rsid w:val="00C76CC7"/>
    <w:rsid w:val="00C80B68"/>
    <w:rsid w:val="00C817F0"/>
    <w:rsid w:val="00C92826"/>
    <w:rsid w:val="00C93375"/>
    <w:rsid w:val="00C93F58"/>
    <w:rsid w:val="00CA418E"/>
    <w:rsid w:val="00CA74B6"/>
    <w:rsid w:val="00CB1B7B"/>
    <w:rsid w:val="00CB6158"/>
    <w:rsid w:val="00CC2C83"/>
    <w:rsid w:val="00CC302B"/>
    <w:rsid w:val="00CC48EA"/>
    <w:rsid w:val="00CC6172"/>
    <w:rsid w:val="00CC6F17"/>
    <w:rsid w:val="00CD6968"/>
    <w:rsid w:val="00CF154F"/>
    <w:rsid w:val="00CF4631"/>
    <w:rsid w:val="00D003AD"/>
    <w:rsid w:val="00D16CB4"/>
    <w:rsid w:val="00D336D1"/>
    <w:rsid w:val="00D40339"/>
    <w:rsid w:val="00D67E81"/>
    <w:rsid w:val="00D70440"/>
    <w:rsid w:val="00D807C8"/>
    <w:rsid w:val="00D96066"/>
    <w:rsid w:val="00D97635"/>
    <w:rsid w:val="00DB47E7"/>
    <w:rsid w:val="00DE3F13"/>
    <w:rsid w:val="00DE5680"/>
    <w:rsid w:val="00DF13E1"/>
    <w:rsid w:val="00E0627F"/>
    <w:rsid w:val="00E174F3"/>
    <w:rsid w:val="00E25A41"/>
    <w:rsid w:val="00E308CA"/>
    <w:rsid w:val="00E33301"/>
    <w:rsid w:val="00E40D13"/>
    <w:rsid w:val="00E41EAC"/>
    <w:rsid w:val="00E50E99"/>
    <w:rsid w:val="00E51216"/>
    <w:rsid w:val="00E56109"/>
    <w:rsid w:val="00E57C36"/>
    <w:rsid w:val="00EA111C"/>
    <w:rsid w:val="00EA2C59"/>
    <w:rsid w:val="00EC03D9"/>
    <w:rsid w:val="00EC4169"/>
    <w:rsid w:val="00F00201"/>
    <w:rsid w:val="00F00472"/>
    <w:rsid w:val="00F00EC4"/>
    <w:rsid w:val="00F03CCE"/>
    <w:rsid w:val="00F03F4A"/>
    <w:rsid w:val="00F133DF"/>
    <w:rsid w:val="00F16983"/>
    <w:rsid w:val="00F20B0E"/>
    <w:rsid w:val="00F216FF"/>
    <w:rsid w:val="00F343C4"/>
    <w:rsid w:val="00F467D9"/>
    <w:rsid w:val="00F53FEA"/>
    <w:rsid w:val="00F67638"/>
    <w:rsid w:val="00F7303E"/>
    <w:rsid w:val="00F76B37"/>
    <w:rsid w:val="00F85A06"/>
    <w:rsid w:val="00FB0C04"/>
    <w:rsid w:val="00FB4E20"/>
    <w:rsid w:val="00FD034C"/>
    <w:rsid w:val="00FD270C"/>
    <w:rsid w:val="00FE1F4A"/>
    <w:rsid w:val="00FE3718"/>
    <w:rsid w:val="00FE465F"/>
    <w:rsid w:val="00FF0BEC"/>
    <w:rsid w:val="00FF4FAD"/>
    <w:rsid w:val="00FF745C"/>
    <w:rsid w:val="00FF7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A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1243"/>
    <w:pPr>
      <w:spacing w:after="120" w:line="360" w:lineRule="auto"/>
      <w:ind w:left="284"/>
      <w:jc w:val="both"/>
    </w:pPr>
    <w:rPr>
      <w:rFonts w:asciiTheme="minorHAnsi" w:hAnsiTheme="minorHAnsi" w:cs="Arial"/>
      <w:bCs/>
    </w:rPr>
  </w:style>
  <w:style w:type="paragraph" w:styleId="Titolo1">
    <w:name w:val="heading 1"/>
    <w:basedOn w:val="Normale"/>
    <w:next w:val="Normale"/>
    <w:link w:val="Titolo1Carattere"/>
    <w:qFormat/>
    <w:pPr>
      <w:keepNext/>
      <w:numPr>
        <w:numId w:val="4"/>
      </w:numPr>
      <w:spacing w:before="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Arial" w:hAnsi="Arial"/>
      <w:b/>
      <w:sz w:val="22"/>
      <w:szCs w:val="24"/>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styleId="Rientrocorpodeltesto3">
    <w:name w:val="Body Text Indent 3"/>
    <w:basedOn w:val="Normale"/>
    <w:link w:val="Rientrocorpodeltesto3Carattere"/>
    <w:pPr>
      <w:ind w:left="340"/>
    </w:pPr>
  </w:style>
  <w:style w:type="character" w:customStyle="1" w:styleId="Rientrocorpodeltesto3Carattere">
    <w:name w:val="Rientro corpo del testo 3 Carattere"/>
    <w:link w:val="Rientrocorpodeltesto3"/>
    <w:rPr>
      <w:sz w:val="24"/>
      <w:szCs w:val="24"/>
    </w:rPr>
  </w:style>
  <w:style w:type="paragraph" w:customStyle="1" w:styleId="testo">
    <w:name w:val="testo"/>
    <w:basedOn w:val="Normale"/>
  </w:style>
  <w:style w:type="paragraph" w:styleId="Rientrocorpodeltesto">
    <w:name w:val="Body Text Indent"/>
    <w:basedOn w:val="Normale"/>
    <w:pPr>
      <w:ind w:left="340"/>
    </w:pPr>
    <w:rPr>
      <w:rFonts w:ascii="Arial" w:hAnsi="Arial"/>
      <w:i/>
      <w:iCs/>
      <w:color w:val="0000FF"/>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sz w:val="24"/>
      <w:szCs w:val="24"/>
    </w:r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style>
  <w:style w:type="character" w:styleId="Collegamentoipertestuale">
    <w:name w:val="Hyperlink"/>
    <w:uiPriority w:val="99"/>
    <w:unhideWhenUsed/>
    <w:rPr>
      <w:color w:val="0000FF"/>
      <w:u w:val="single"/>
    </w:rPr>
  </w:style>
  <w:style w:type="paragraph" w:customStyle="1" w:styleId="a">
    <w:basedOn w:val="Normale"/>
    <w:next w:val="Corpotesto"/>
  </w:style>
  <w:style w:type="paragraph" w:styleId="Corpotesto">
    <w:name w:val="Body Text"/>
    <w:aliases w:val="bt,Body3,Table Text bold,Table Text,body text,body tesx"/>
    <w:basedOn w:val="Normale"/>
    <w:link w:val="CorpotestoCarattere"/>
    <w:uiPriority w:val="99"/>
    <w:unhideWhenUsed/>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rPr>
  </w:style>
  <w:style w:type="character" w:customStyle="1" w:styleId="tendinaCarattere">
    <w:name w:val="tendina Carattere"/>
    <w:basedOn w:val="Carpredefinitoparagrafo"/>
    <w:link w:val="tendina"/>
    <w:rPr>
      <w:rFonts w:ascii="Calibri" w:hAnsi="Calibri"/>
      <w:szCs w:val="24"/>
    </w:rPr>
  </w:style>
  <w:style w:type="character" w:customStyle="1" w:styleId="Stile2">
    <w:name w:val="Stile2"/>
    <w:basedOn w:val="tendinaCarattere"/>
    <w:uiPriority w:val="1"/>
    <w:rPr>
      <w:rFonts w:ascii="Calibri" w:hAnsi="Calibri"/>
      <w:sz w:val="20"/>
      <w:szCs w:val="24"/>
    </w:rPr>
  </w:style>
  <w:style w:type="paragraph" w:customStyle="1" w:styleId="CharChar1">
    <w:name w:val="Char Char1"/>
    <w:basedOn w:val="Normale"/>
    <w:pPr>
      <w:ind w:left="567"/>
    </w:pPr>
    <w:rPr>
      <w:rFonts w:ascii="Arial" w:hAnsi="Arial"/>
    </w:rPr>
  </w:style>
  <w:style w:type="paragraph" w:styleId="Paragrafoelenco">
    <w:name w:val="List Paragraph"/>
    <w:aliases w:val="Normale + Elenco puntato,Paragrafo elenco 2,Bullet List,FooterText,numbered,Paragraphe de liste1,Bulletr List Paragraph,列出段落,列出段落1,List Paragraph21,Listeafsnit1,Parágrafo da Lista1,Párrafo de lista1,リスト段落1,List Paragraph11,Foot,lp1,b1"/>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style>
  <w:style w:type="character" w:customStyle="1" w:styleId="TestocommentoCarattere">
    <w:name w:val="Testo commento Carattere"/>
    <w:basedOn w:val="Carpredefinitoparagrafo"/>
    <w:link w:val="Testocommento"/>
    <w:uiPriority w:val="99"/>
  </w:style>
  <w:style w:type="paragraph" w:styleId="Soggettocommento">
    <w:name w:val="annotation subject"/>
    <w:basedOn w:val="Testocommento"/>
    <w:next w:val="Testocommento"/>
    <w:link w:val="SoggettocommentoCarattere"/>
    <w:uiPriority w:val="99"/>
    <w:semiHidden/>
    <w:unhideWhenUsed/>
    <w:rPr>
      <w:b/>
      <w:bCs w:val="0"/>
    </w:rPr>
  </w:style>
  <w:style w:type="character" w:customStyle="1" w:styleId="SoggettocommentoCarattere">
    <w:name w:val="Soggetto commento Carattere"/>
    <w:basedOn w:val="TestocommentoCarattere"/>
    <w:link w:val="Soggettocommento"/>
    <w:uiPriority w:val="99"/>
    <w:semiHidden/>
    <w:rPr>
      <w:b/>
      <w:bCs/>
    </w:rPr>
  </w:style>
  <w:style w:type="paragraph" w:customStyle="1" w:styleId="BodyText21">
    <w:name w:val="Body Text 21"/>
    <w:basedOn w:val="Normale"/>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styleId="Enfasigrassetto">
    <w:name w:val="Strong"/>
    <w:aliases w:val="Punti Elenco"/>
    <w:uiPriority w:val="22"/>
    <w:qFormat/>
    <w:rsid w:val="006A6D00"/>
  </w:style>
  <w:style w:type="paragraph" w:customStyle="1" w:styleId="Corpodeltesto31">
    <w:name w:val="Corpo del testo 31"/>
    <w:basedOn w:val="Normale"/>
    <w:rsid w:val="006A6D00"/>
    <w:pPr>
      <w:pBdr>
        <w:top w:val="single" w:sz="6" w:space="1" w:color="auto"/>
        <w:left w:val="single" w:sz="6" w:space="4" w:color="auto"/>
        <w:bottom w:val="single" w:sz="6" w:space="1" w:color="auto"/>
        <w:right w:val="single" w:sz="6" w:space="4" w:color="auto"/>
      </w:pBdr>
      <w:spacing w:after="0" w:line="240" w:lineRule="auto"/>
      <w:ind w:left="0"/>
      <w:jc w:val="left"/>
    </w:pPr>
    <w:rPr>
      <w:rFonts w:ascii="Times New Roman" w:hAnsi="Times New Roman" w:cs="Times New Roman"/>
      <w:b/>
      <w:bCs w:val="0"/>
      <w:sz w:val="24"/>
      <w:szCs w:val="24"/>
    </w:rPr>
  </w:style>
  <w:style w:type="paragraph" w:styleId="Didascalia">
    <w:name w:val="caption"/>
    <w:basedOn w:val="Normale"/>
    <w:next w:val="Normale"/>
    <w:uiPriority w:val="35"/>
    <w:unhideWhenUsed/>
    <w:qFormat/>
    <w:rsid w:val="006F6DCB"/>
    <w:pPr>
      <w:spacing w:after="200" w:line="240" w:lineRule="auto"/>
    </w:pPr>
    <w:rPr>
      <w:i/>
      <w:iCs/>
      <w:color w:val="1F497D" w:themeColor="text2"/>
      <w:sz w:val="18"/>
      <w:szCs w:val="18"/>
    </w:rPr>
  </w:style>
  <w:style w:type="character" w:customStyle="1" w:styleId="ParagrafoelencoCarattere">
    <w:name w:val="Paragrafo elenco Carattere"/>
    <w:aliases w:val="Normale + Elenco puntato Carattere,Paragrafo elenco 2 Carattere,Bullet List Carattere,FooterText Carattere,numbered Carattere,Paragraphe de liste1 Carattere,Bulletr List Paragraph Carattere,列出段落 Carattere,列出段落1 Carattere"/>
    <w:basedOn w:val="Carpredefinitoparagrafo"/>
    <w:link w:val="Paragrafoelenco"/>
    <w:uiPriority w:val="34"/>
    <w:qFormat/>
    <w:locked/>
    <w:rsid w:val="00175977"/>
    <w:rPr>
      <w:rFonts w:asciiTheme="minorHAnsi" w:hAnsiTheme="minorHAnsi" w:cs="Arial"/>
      <w:bCs/>
    </w:rPr>
  </w:style>
  <w:style w:type="paragraph" w:customStyle="1" w:styleId="Bulletpointdentrotabella">
    <w:name w:val="Bullet point dentro tabella"/>
    <w:basedOn w:val="Paragrafoelenco"/>
    <w:link w:val="BulletpointdentrotabellaCarattere"/>
    <w:qFormat/>
    <w:rsid w:val="002B6A76"/>
    <w:pPr>
      <w:numPr>
        <w:ilvl w:val="1"/>
        <w:numId w:val="27"/>
      </w:numPr>
      <w:ind w:left="316" w:hanging="262"/>
    </w:pPr>
    <w:rPr>
      <w:sz w:val="16"/>
    </w:rPr>
  </w:style>
  <w:style w:type="character" w:customStyle="1" w:styleId="BulletpointdentrotabellaCarattere">
    <w:name w:val="Bullet point dentro tabella Carattere"/>
    <w:basedOn w:val="ParagrafoelencoCarattere"/>
    <w:link w:val="Bulletpointdentrotabella"/>
    <w:rsid w:val="002B6A76"/>
    <w:rPr>
      <w:rFonts w:asciiTheme="minorHAnsi" w:hAnsiTheme="minorHAnsi" w:cs="Arial"/>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27478019">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57235299">
      <w:bodyDiv w:val="1"/>
      <w:marLeft w:val="0"/>
      <w:marRight w:val="0"/>
      <w:marTop w:val="0"/>
      <w:marBottom w:val="0"/>
      <w:divBdr>
        <w:top w:val="none" w:sz="0" w:space="0" w:color="auto"/>
        <w:left w:val="none" w:sz="0" w:space="0" w:color="auto"/>
        <w:bottom w:val="none" w:sz="0" w:space="0" w:color="auto"/>
        <w:right w:val="none" w:sz="0" w:space="0" w:color="auto"/>
      </w:divBdr>
    </w:div>
    <w:div w:id="203443735">
      <w:bodyDiv w:val="1"/>
      <w:marLeft w:val="0"/>
      <w:marRight w:val="0"/>
      <w:marTop w:val="0"/>
      <w:marBottom w:val="0"/>
      <w:divBdr>
        <w:top w:val="none" w:sz="0" w:space="0" w:color="auto"/>
        <w:left w:val="none" w:sz="0" w:space="0" w:color="auto"/>
        <w:bottom w:val="none" w:sz="0" w:space="0" w:color="auto"/>
        <w:right w:val="none" w:sz="0" w:space="0" w:color="auto"/>
      </w:divBdr>
    </w:div>
    <w:div w:id="241641806">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3916096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06761094">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72906778">
      <w:bodyDiv w:val="1"/>
      <w:marLeft w:val="0"/>
      <w:marRight w:val="0"/>
      <w:marTop w:val="0"/>
      <w:marBottom w:val="0"/>
      <w:divBdr>
        <w:top w:val="none" w:sz="0" w:space="0" w:color="auto"/>
        <w:left w:val="none" w:sz="0" w:space="0" w:color="auto"/>
        <w:bottom w:val="none" w:sz="0" w:space="0" w:color="auto"/>
        <w:right w:val="none" w:sz="0" w:space="0" w:color="auto"/>
      </w:divBdr>
    </w:div>
    <w:div w:id="1063329656">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38300051">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74621311">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01122506">
      <w:bodyDiv w:val="1"/>
      <w:marLeft w:val="0"/>
      <w:marRight w:val="0"/>
      <w:marTop w:val="0"/>
      <w:marBottom w:val="0"/>
      <w:divBdr>
        <w:top w:val="none" w:sz="0" w:space="0" w:color="auto"/>
        <w:left w:val="none" w:sz="0" w:space="0" w:color="auto"/>
        <w:bottom w:val="none" w:sz="0" w:space="0" w:color="auto"/>
        <w:right w:val="none" w:sz="0" w:space="0" w:color="auto"/>
      </w:divBdr>
    </w:div>
    <w:div w:id="1501312933">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535776852">
      <w:bodyDiv w:val="1"/>
      <w:marLeft w:val="0"/>
      <w:marRight w:val="0"/>
      <w:marTop w:val="0"/>
      <w:marBottom w:val="0"/>
      <w:divBdr>
        <w:top w:val="none" w:sz="0" w:space="0" w:color="auto"/>
        <w:left w:val="none" w:sz="0" w:space="0" w:color="auto"/>
        <w:bottom w:val="none" w:sz="0" w:space="0" w:color="auto"/>
        <w:right w:val="none" w:sz="0" w:space="0" w:color="auto"/>
      </w:divBdr>
    </w:div>
    <w:div w:id="1620641646">
      <w:bodyDiv w:val="1"/>
      <w:marLeft w:val="0"/>
      <w:marRight w:val="0"/>
      <w:marTop w:val="0"/>
      <w:marBottom w:val="0"/>
      <w:divBdr>
        <w:top w:val="none" w:sz="0" w:space="0" w:color="auto"/>
        <w:left w:val="none" w:sz="0" w:space="0" w:color="auto"/>
        <w:bottom w:val="none" w:sz="0" w:space="0" w:color="auto"/>
        <w:right w:val="none" w:sz="0" w:space="0" w:color="auto"/>
      </w:divBdr>
    </w:div>
    <w:div w:id="162916383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53843368">
      <w:bodyDiv w:val="1"/>
      <w:marLeft w:val="0"/>
      <w:marRight w:val="0"/>
      <w:marTop w:val="0"/>
      <w:marBottom w:val="0"/>
      <w:divBdr>
        <w:top w:val="none" w:sz="0" w:space="0" w:color="auto"/>
        <w:left w:val="none" w:sz="0" w:space="0" w:color="auto"/>
        <w:bottom w:val="none" w:sz="0" w:space="0" w:color="auto"/>
        <w:right w:val="none" w:sz="0" w:space="0" w:color="auto"/>
      </w:divBdr>
    </w:div>
    <w:div w:id="2065712991">
      <w:bodyDiv w:val="1"/>
      <w:marLeft w:val="0"/>
      <w:marRight w:val="0"/>
      <w:marTop w:val="0"/>
      <w:marBottom w:val="0"/>
      <w:divBdr>
        <w:top w:val="none" w:sz="0" w:space="0" w:color="auto"/>
        <w:left w:val="none" w:sz="0" w:space="0" w:color="auto"/>
        <w:bottom w:val="none" w:sz="0" w:space="0" w:color="auto"/>
        <w:right w:val="none" w:sz="0" w:space="0" w:color="auto"/>
      </w:divBdr>
    </w:div>
    <w:div w:id="2069065155">
      <w:bodyDiv w:val="1"/>
      <w:marLeft w:val="0"/>
      <w:marRight w:val="0"/>
      <w:marTop w:val="0"/>
      <w:marBottom w:val="0"/>
      <w:divBdr>
        <w:top w:val="none" w:sz="0" w:space="0" w:color="auto"/>
        <w:left w:val="none" w:sz="0" w:space="0" w:color="auto"/>
        <w:bottom w:val="none" w:sz="0" w:space="0" w:color="auto"/>
        <w:right w:val="none" w:sz="0" w:space="0" w:color="auto"/>
      </w:divBdr>
    </w:div>
    <w:div w:id="2070298955">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ercizio.diritti.privacy@consi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ctconsip@postacert.consip.i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072C-9024-450A-9E1E-6C97A374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4221</Words>
  <Characters>24061</Characters>
  <Application>Microsoft Office Word</Application>
  <DocSecurity>0</DocSecurity>
  <Lines>200</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2024-03-11T18:01:00Z</dcterms:created>
  <dcterms:modified xsi:type="dcterms:W3CDTF">2024-03-11T18:07:00Z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2dbe65ee,7b5de1b4,6da768ee</vt:lpwstr>
  </property>
  <property fmtid="{D5CDD505-2E9C-101B-9397-08002B2CF9AE}" pid="3" name="ClassificationContentMarkingFooterFontProps">
    <vt:lpwstr>#000000,8,Verdana</vt:lpwstr>
  </property>
  <property fmtid="{D5CDD505-2E9C-101B-9397-08002B2CF9AE}" pid="4" name="ClassificationContentMarkingFooterText">
    <vt:lpwstr>Dati interni - Dati non personali</vt:lpwstr>
  </property>
  <property fmtid="{D5CDD505-2E9C-101B-9397-08002B2CF9AE}" pid="5" name="MSIP_Label_41e5f6a8-fa14-4576-8095-662e3fcf6615_Enabled">
    <vt:lpwstr>true</vt:lpwstr>
  </property>
  <property fmtid="{D5CDD505-2E9C-101B-9397-08002B2CF9AE}" pid="6" name="MSIP_Label_41e5f6a8-fa14-4576-8095-662e3fcf6615_SetDate">
    <vt:lpwstr>2024-01-31T18:27:23Z</vt:lpwstr>
  </property>
  <property fmtid="{D5CDD505-2E9C-101B-9397-08002B2CF9AE}" pid="7" name="MSIP_Label_41e5f6a8-fa14-4576-8095-662e3fcf6615_Method">
    <vt:lpwstr>Standard</vt:lpwstr>
  </property>
  <property fmtid="{D5CDD505-2E9C-101B-9397-08002B2CF9AE}" pid="8" name="MSIP_Label_41e5f6a8-fa14-4576-8095-662e3fcf6615_Name">
    <vt:lpwstr>41e5f6a8-fa14-4576-8095-662e3fcf6615</vt:lpwstr>
  </property>
  <property fmtid="{D5CDD505-2E9C-101B-9397-08002B2CF9AE}" pid="9" name="MSIP_Label_41e5f6a8-fa14-4576-8095-662e3fcf6615_SiteId">
    <vt:lpwstr>418322d3-5401-446f-9996-9e2e03ee3a5e</vt:lpwstr>
  </property>
  <property fmtid="{D5CDD505-2E9C-101B-9397-08002B2CF9AE}" pid="10" name="MSIP_Label_41e5f6a8-fa14-4576-8095-662e3fcf6615_ActionId">
    <vt:lpwstr>886c6660-150b-4f09-a29b-5dd3ae9dc2ed</vt:lpwstr>
  </property>
  <property fmtid="{D5CDD505-2E9C-101B-9397-08002B2CF9AE}" pid="11" name="MSIP_Label_41e5f6a8-fa14-4576-8095-662e3fcf6615_ContentBits">
    <vt:lpwstr>3</vt:lpwstr>
  </property>
</Properties>
</file>