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A74C12" w:rsidRDefault="00C1668D" w:rsidP="00A74C12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 w:rsidRPr="009358C7">
        <w:t xml:space="preserve">CONSULTAZIONE DI MERCATO FINALIZZATA </w:t>
      </w:r>
      <w:r w:rsidRPr="00C1668D">
        <w:t>L’ACQUISIZIONE DI SERVIZI DI SUPPORTO TECNOLOGICO IN AMBIENTE DELL-EMC DELLA DURATA DI 36 MESI PER SOGEI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9827F3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4B276B" w:rsidRDefault="00476BF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AD7476" w:rsidRPr="00A633C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</w:p>
    <w:p w:rsidR="008449F2" w:rsidRPr="004B276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4B276B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4B276B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4B276B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1802" w:rsidRPr="004B276B" w:rsidRDefault="00C0180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4B276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4B276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35A27" w:rsidRPr="004B276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B276B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3F02E3" w:rsidRPr="004B276B">
        <w:rPr>
          <w:rFonts w:asciiTheme="minorHAnsi" w:hAnsiTheme="minorHAnsi" w:cs="Arial"/>
          <w:bCs/>
          <w:sz w:val="20"/>
          <w:szCs w:val="20"/>
        </w:rPr>
        <w:t>26</w:t>
      </w:r>
      <w:r w:rsidR="001A6EB5" w:rsidRPr="004B276B">
        <w:rPr>
          <w:rFonts w:asciiTheme="minorHAnsi" w:hAnsiTheme="minorHAnsi" w:cs="Arial"/>
          <w:bCs/>
          <w:sz w:val="20"/>
          <w:szCs w:val="20"/>
        </w:rPr>
        <w:t>/10</w:t>
      </w:r>
      <w:r w:rsidR="008449F2" w:rsidRPr="004B276B">
        <w:rPr>
          <w:rFonts w:asciiTheme="minorHAnsi" w:hAnsiTheme="minorHAnsi" w:cs="Arial"/>
          <w:bCs/>
          <w:sz w:val="20"/>
          <w:szCs w:val="20"/>
        </w:rPr>
        <w:t>/</w:t>
      </w:r>
      <w:r w:rsidR="00194300" w:rsidRPr="004B276B">
        <w:rPr>
          <w:rFonts w:asciiTheme="minorHAnsi" w:hAnsiTheme="minorHAnsi" w:cs="Arial"/>
          <w:bCs/>
          <w:sz w:val="20"/>
          <w:szCs w:val="20"/>
        </w:rPr>
        <w:t>2018</w:t>
      </w:r>
    </w:p>
    <w:p w:rsidR="008449F2" w:rsidRPr="004B276B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4B276B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194300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916B2B" w:rsidRDefault="00916B2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1668D" w:rsidRDefault="00C1668D" w:rsidP="00BF13C1">
      <w:pPr>
        <w:pStyle w:val="BodyText21"/>
        <w:spacing w:line="276" w:lineRule="auto"/>
        <w:ind w:left="284"/>
        <w:rPr>
          <w:rFonts w:ascii="Calibri" w:hAnsi="Calibri" w:cs="Arial"/>
          <w:sz w:val="20"/>
          <w:szCs w:val="20"/>
        </w:rPr>
      </w:pPr>
      <w:r w:rsidRPr="00E91314">
        <w:rPr>
          <w:rFonts w:ascii="Calibri" w:hAnsi="Calibri" w:cs="Arial"/>
          <w:sz w:val="20"/>
          <w:szCs w:val="20"/>
        </w:rPr>
        <w:t xml:space="preserve">Il </w:t>
      </w:r>
      <w:r w:rsidR="001905CA">
        <w:rPr>
          <w:rFonts w:ascii="Calibri" w:hAnsi="Calibri" w:cs="Arial"/>
          <w:sz w:val="20"/>
          <w:szCs w:val="20"/>
        </w:rPr>
        <w:t>13</w:t>
      </w:r>
      <w:r w:rsidRPr="00E91314">
        <w:rPr>
          <w:rFonts w:ascii="Calibri" w:hAnsi="Calibri" w:cs="Arial"/>
          <w:sz w:val="20"/>
          <w:szCs w:val="20"/>
        </w:rPr>
        <w:t xml:space="preserve"> aprile 201</w:t>
      </w:r>
      <w:r w:rsidR="001905CA">
        <w:rPr>
          <w:rFonts w:ascii="Calibri" w:hAnsi="Calibri" w:cs="Arial"/>
          <w:sz w:val="20"/>
          <w:szCs w:val="20"/>
        </w:rPr>
        <w:t>9</w:t>
      </w:r>
      <w:r w:rsidRPr="00E91314">
        <w:rPr>
          <w:rFonts w:ascii="Calibri" w:hAnsi="Calibri" w:cs="Arial"/>
          <w:sz w:val="20"/>
          <w:szCs w:val="20"/>
        </w:rPr>
        <w:t xml:space="preserve"> scadrà il Contratto avente ad oggetto </w:t>
      </w:r>
      <w:r w:rsidR="001905CA">
        <w:rPr>
          <w:rFonts w:ascii="Calibri" w:hAnsi="Calibri" w:cs="Arial"/>
          <w:sz w:val="20"/>
          <w:szCs w:val="20"/>
        </w:rPr>
        <w:t>la fornitura</w:t>
      </w:r>
      <w:r w:rsidRPr="00E91314">
        <w:rPr>
          <w:rFonts w:ascii="Calibri" w:hAnsi="Calibri" w:cs="Arial"/>
          <w:sz w:val="20"/>
          <w:szCs w:val="20"/>
        </w:rPr>
        <w:t xml:space="preserve"> sopra soglia </w:t>
      </w:r>
      <w:r w:rsidR="001905CA">
        <w:rPr>
          <w:rFonts w:ascii="Calibri" w:hAnsi="Calibri" w:cs="Arial"/>
          <w:sz w:val="20"/>
          <w:szCs w:val="20"/>
        </w:rPr>
        <w:t>del s</w:t>
      </w:r>
      <w:r w:rsidR="001905CA" w:rsidRPr="001905CA">
        <w:rPr>
          <w:rFonts w:ascii="Calibri" w:hAnsi="Calibri" w:cs="Arial"/>
          <w:sz w:val="20"/>
          <w:szCs w:val="20"/>
        </w:rPr>
        <w:t xml:space="preserve">ervizio </w:t>
      </w:r>
      <w:r w:rsidR="001905CA">
        <w:rPr>
          <w:rFonts w:ascii="Calibri" w:hAnsi="Calibri" w:cs="Arial"/>
          <w:sz w:val="20"/>
          <w:szCs w:val="20"/>
        </w:rPr>
        <w:t>d</w:t>
      </w:r>
      <w:r w:rsidR="001905CA" w:rsidRPr="001905CA">
        <w:rPr>
          <w:rFonts w:ascii="Calibri" w:hAnsi="Calibri" w:cs="Arial"/>
          <w:sz w:val="20"/>
          <w:szCs w:val="20"/>
        </w:rPr>
        <w:t xml:space="preserve">i </w:t>
      </w:r>
      <w:r w:rsidR="001905CA">
        <w:rPr>
          <w:rFonts w:ascii="Calibri" w:hAnsi="Calibri" w:cs="Arial"/>
          <w:sz w:val="20"/>
          <w:szCs w:val="20"/>
        </w:rPr>
        <w:t>s</w:t>
      </w:r>
      <w:r w:rsidR="001905CA" w:rsidRPr="001905CA">
        <w:rPr>
          <w:rFonts w:ascii="Calibri" w:hAnsi="Calibri" w:cs="Arial"/>
          <w:sz w:val="20"/>
          <w:szCs w:val="20"/>
        </w:rPr>
        <w:t xml:space="preserve">upporto </w:t>
      </w:r>
      <w:r w:rsidR="001905CA">
        <w:rPr>
          <w:rFonts w:ascii="Calibri" w:hAnsi="Calibri" w:cs="Arial"/>
          <w:sz w:val="20"/>
          <w:szCs w:val="20"/>
        </w:rPr>
        <w:t>t</w:t>
      </w:r>
      <w:r w:rsidR="001905CA" w:rsidRPr="001905CA">
        <w:rPr>
          <w:rFonts w:ascii="Calibri" w:hAnsi="Calibri" w:cs="Arial"/>
          <w:sz w:val="20"/>
          <w:szCs w:val="20"/>
        </w:rPr>
        <w:t xml:space="preserve">ecnologico </w:t>
      </w:r>
      <w:r w:rsidR="001905CA">
        <w:rPr>
          <w:rFonts w:ascii="Calibri" w:hAnsi="Calibri" w:cs="Arial"/>
          <w:sz w:val="20"/>
          <w:szCs w:val="20"/>
        </w:rPr>
        <w:t>i</w:t>
      </w:r>
      <w:r w:rsidR="001905CA" w:rsidRPr="001905CA">
        <w:rPr>
          <w:rFonts w:ascii="Calibri" w:hAnsi="Calibri" w:cs="Arial"/>
          <w:sz w:val="20"/>
          <w:szCs w:val="20"/>
        </w:rPr>
        <w:t xml:space="preserve">n </w:t>
      </w:r>
      <w:r w:rsidR="001905CA">
        <w:rPr>
          <w:rFonts w:ascii="Calibri" w:hAnsi="Calibri" w:cs="Arial"/>
          <w:sz w:val="20"/>
          <w:szCs w:val="20"/>
        </w:rPr>
        <w:t>a</w:t>
      </w:r>
      <w:r w:rsidR="001905CA" w:rsidRPr="001905CA">
        <w:rPr>
          <w:rFonts w:ascii="Calibri" w:hAnsi="Calibri" w:cs="Arial"/>
          <w:sz w:val="20"/>
          <w:szCs w:val="20"/>
        </w:rPr>
        <w:t>mbiente Dell-EMC</w:t>
      </w:r>
      <w:r w:rsidR="001905CA">
        <w:rPr>
          <w:rFonts w:ascii="Calibri" w:hAnsi="Calibri" w:cs="Arial"/>
          <w:sz w:val="20"/>
          <w:szCs w:val="20"/>
        </w:rPr>
        <w:t xml:space="preserve"> per Sogei</w:t>
      </w:r>
      <w:r w:rsidRPr="00E91314">
        <w:rPr>
          <w:rFonts w:ascii="Calibri" w:hAnsi="Calibri" w:cs="Arial"/>
          <w:sz w:val="20"/>
          <w:szCs w:val="20"/>
        </w:rPr>
        <w:t>,</w:t>
      </w:r>
      <w:r w:rsidR="001905CA">
        <w:rPr>
          <w:rFonts w:ascii="Calibri" w:hAnsi="Calibri" w:cs="Arial"/>
          <w:sz w:val="20"/>
          <w:szCs w:val="20"/>
        </w:rPr>
        <w:t xml:space="preserve"> </w:t>
      </w:r>
      <w:r w:rsidR="001905CA" w:rsidRPr="001905CA">
        <w:rPr>
          <w:rFonts w:ascii="Calibri" w:hAnsi="Calibri" w:cs="Arial"/>
          <w:sz w:val="20"/>
          <w:szCs w:val="20"/>
        </w:rPr>
        <w:t>sia in forma di presidio continuativo che con giornate a consumo</w:t>
      </w:r>
      <w:r w:rsidRPr="00E91314">
        <w:rPr>
          <w:rFonts w:ascii="Calibri" w:hAnsi="Calibri" w:cs="Arial"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C1668D">
      <w:pPr>
        <w:pStyle w:val="BodyText21"/>
        <w:numPr>
          <w:ilvl w:val="0"/>
          <w:numId w:val="2"/>
        </w:numPr>
        <w:tabs>
          <w:tab w:val="clear" w:pos="1440"/>
          <w:tab w:val="left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 informazioni;</w:t>
      </w:r>
    </w:p>
    <w:p w:rsidR="00F8539B" w:rsidRPr="00F8539B" w:rsidRDefault="00F8539B" w:rsidP="00C1668D">
      <w:pPr>
        <w:pStyle w:val="BodyText21"/>
        <w:numPr>
          <w:ilvl w:val="0"/>
          <w:numId w:val="2"/>
        </w:numPr>
        <w:tabs>
          <w:tab w:val="clear" w:pos="1440"/>
          <w:tab w:val="left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C1668D">
      <w:pPr>
        <w:pStyle w:val="BodyText21"/>
        <w:numPr>
          <w:ilvl w:val="0"/>
          <w:numId w:val="2"/>
        </w:numPr>
        <w:tabs>
          <w:tab w:val="clear" w:pos="1440"/>
          <w:tab w:val="left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C1668D">
      <w:pPr>
        <w:pStyle w:val="BodyText21"/>
        <w:numPr>
          <w:ilvl w:val="0"/>
          <w:numId w:val="2"/>
        </w:numPr>
        <w:tabs>
          <w:tab w:val="clear" w:pos="1440"/>
          <w:tab w:val="left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358C7" w:rsidRDefault="00F8539B" w:rsidP="00BF13C1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916B2B" w:rsidRPr="002972F3">
        <w:rPr>
          <w:rFonts w:ascii="Calibri" w:hAnsi="Calibri" w:cs="Arial"/>
          <w:sz w:val="20"/>
          <w:szCs w:val="20"/>
        </w:rPr>
        <w:t>“</w:t>
      </w:r>
      <w:r w:rsidR="001905CA" w:rsidRPr="001905CA">
        <w:rPr>
          <w:rFonts w:ascii="Calibri" w:hAnsi="Calibri" w:cs="Arial"/>
          <w:sz w:val="20"/>
          <w:szCs w:val="20"/>
        </w:rPr>
        <w:t>SERVIZIO DI SUPPORTO TECNOLOGICO IN AMBIENTE DELL-EMC</w:t>
      </w:r>
      <w:r w:rsidR="00916B2B" w:rsidRPr="002972F3">
        <w:rPr>
          <w:rFonts w:ascii="Calibri" w:hAnsi="Calibri" w:cs="Arial"/>
          <w:sz w:val="20"/>
          <w:szCs w:val="20"/>
        </w:rPr>
        <w:t xml:space="preserve">”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905CA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9827F3">
        <w:rPr>
          <w:rFonts w:ascii="Calibri" w:hAnsi="Calibri" w:cs="Arial"/>
          <w:sz w:val="20"/>
          <w:szCs w:val="20"/>
        </w:rPr>
        <w:t>PEC</w:t>
      </w:r>
      <w:r w:rsidR="009358C7" w:rsidRPr="00E91314">
        <w:rPr>
          <w:rFonts w:ascii="Calibri" w:hAnsi="Calibri" w:cs="Arial"/>
          <w:sz w:val="20"/>
          <w:szCs w:val="20"/>
        </w:rPr>
        <w:t xml:space="preserve"> </w:t>
      </w:r>
      <w:hyperlink r:id="rId10" w:history="1">
        <w:r w:rsidR="009827F3" w:rsidRPr="00A633C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9358C7" w:rsidRPr="000F495F">
        <w:rPr>
          <w:rFonts w:ascii="Calibri" w:hAnsi="Calibri" w:cs="Arial"/>
          <w:sz w:val="20"/>
          <w:szCs w:val="20"/>
        </w:rPr>
        <w:t>,</w:t>
      </w:r>
      <w:r w:rsidR="009358C7">
        <w:rPr>
          <w:rFonts w:ascii="Calibri" w:hAnsi="Calibri" w:cs="Arial"/>
          <w:b/>
          <w:i/>
          <w:sz w:val="20"/>
          <w:szCs w:val="20"/>
        </w:rPr>
        <w:t xml:space="preserve"> </w:t>
      </w:r>
      <w:r w:rsidR="009358C7" w:rsidRPr="000F495F">
        <w:rPr>
          <w:rFonts w:ascii="Calibri" w:hAnsi="Calibri" w:cs="Arial"/>
          <w:bCs/>
          <w:sz w:val="20"/>
          <w:szCs w:val="20"/>
        </w:rPr>
        <w:t>specificando nell’oggetto</w:t>
      </w:r>
      <w:bookmarkStart w:id="0" w:name="_GoBack"/>
      <w:bookmarkEnd w:id="0"/>
      <w:r w:rsidR="009358C7" w:rsidRPr="000F495F">
        <w:rPr>
          <w:rFonts w:ascii="Calibri" w:hAnsi="Calibri" w:cs="Arial"/>
          <w:bCs/>
          <w:sz w:val="20"/>
          <w:szCs w:val="20"/>
        </w:rPr>
        <w:t xml:space="preserve">: </w:t>
      </w:r>
      <w:r w:rsidR="009337BA">
        <w:rPr>
          <w:rFonts w:ascii="Calibri" w:hAnsi="Calibri" w:cs="Arial"/>
          <w:bCs/>
          <w:sz w:val="20"/>
          <w:szCs w:val="20"/>
        </w:rPr>
        <w:t>“</w:t>
      </w:r>
      <w:r w:rsidR="001905CA" w:rsidRPr="001905CA">
        <w:rPr>
          <w:rFonts w:ascii="Calibri" w:hAnsi="Calibri" w:cs="Arial"/>
          <w:sz w:val="20"/>
          <w:szCs w:val="20"/>
        </w:rPr>
        <w:t>SERVIZIO DI SUPPORTO TECNOLOGICO IN AMBIENTE DELL-EMC</w:t>
      </w:r>
      <w:r w:rsidR="009337BA">
        <w:rPr>
          <w:rFonts w:ascii="Calibri" w:hAnsi="Calibri" w:cs="Arial"/>
          <w:bCs/>
          <w:sz w:val="20"/>
          <w:szCs w:val="20"/>
        </w:rPr>
        <w:t>”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9358C7" w:rsidRDefault="009358C7" w:rsidP="009358C7">
      <w:pPr>
        <w:spacing w:line="360" w:lineRule="auto"/>
        <w:ind w:firstLine="284"/>
        <w:jc w:val="both"/>
        <w:rPr>
          <w:rFonts w:ascii="Calibri" w:hAnsi="Calibri" w:cs="Arial"/>
          <w:sz w:val="20"/>
          <w:szCs w:val="20"/>
        </w:rPr>
      </w:pPr>
      <w:r w:rsidRPr="00E91314">
        <w:rPr>
          <w:rFonts w:ascii="Calibri" w:hAnsi="Calibri" w:cs="Arial"/>
          <w:sz w:val="20"/>
          <w:szCs w:val="20"/>
        </w:rPr>
        <w:t>L’invio del documento al nostro recapito implica il consenso al trattamento dei dati forniti.</w:t>
      </w:r>
    </w:p>
    <w:p w:rsidR="009358C7" w:rsidRPr="00E91314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358C7" w:rsidTr="00455EC9">
        <w:trPr>
          <w:jc w:val="center"/>
        </w:trPr>
        <w:tc>
          <w:tcPr>
            <w:tcW w:w="8494" w:type="dxa"/>
            <w:shd w:val="clear" w:color="auto" w:fill="0F243E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t>Dati azienda</w:t>
            </w:r>
          </w:p>
        </w:tc>
      </w:tr>
    </w:tbl>
    <w:p w:rsidR="009358C7" w:rsidRPr="00764881" w:rsidRDefault="009358C7" w:rsidP="009358C7">
      <w:pPr>
        <w:spacing w:line="360" w:lineRule="auto"/>
        <w:jc w:val="both"/>
        <w:rPr>
          <w:rFonts w:ascii="Calibri" w:hAnsi="Calibri" w:cs="Arial"/>
          <w:b/>
          <w:bCs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9358C7" w:rsidTr="00455EC9">
        <w:trPr>
          <w:jc w:val="center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Azienda</w:t>
            </w:r>
          </w:p>
        </w:tc>
        <w:tc>
          <w:tcPr>
            <w:tcW w:w="5664" w:type="dxa"/>
            <w:tcBorders>
              <w:top w:val="single" w:sz="4" w:space="0" w:color="808080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Fax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358C7" w:rsidTr="00455EC9">
        <w:trPr>
          <w:jc w:val="center"/>
        </w:trPr>
        <w:tc>
          <w:tcPr>
            <w:tcW w:w="2830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9358C7" w:rsidRPr="002E6A59" w:rsidRDefault="009358C7" w:rsidP="00455EC9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58C7" w:rsidRPr="002E6A59" w:rsidRDefault="009358C7" w:rsidP="00455EC9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905CA" w:rsidRDefault="001905CA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905CA" w:rsidRDefault="001905CA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81ADC" w:rsidRDefault="00681ADC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81ADC" w:rsidRDefault="00681ADC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81ADC" w:rsidRPr="00681ADC" w:rsidRDefault="00681ADC" w:rsidP="0026477D">
      <w:pPr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>La Consip S.p.A., in qualità di Stazione Appaltante, prevede di indire un bando di gara per conto della Sogei S.p.A. che prevede l’acquisizione dei seguenti servizi professionali:</w:t>
      </w:r>
    </w:p>
    <w:p w:rsidR="00681ADC" w:rsidRPr="00681ADC" w:rsidRDefault="00681ADC" w:rsidP="0026477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81ADC" w:rsidRPr="00681ADC" w:rsidRDefault="00681ADC" w:rsidP="0026477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b/>
          <w:sz w:val="20"/>
          <w:szCs w:val="20"/>
        </w:rPr>
        <w:t xml:space="preserve">Servizi professionali di tipo </w:t>
      </w:r>
      <w:proofErr w:type="spellStart"/>
      <w:r w:rsidRPr="00681ADC">
        <w:rPr>
          <w:rFonts w:asciiTheme="minorHAnsi" w:hAnsiTheme="minorHAnsi" w:cs="Arial"/>
          <w:b/>
          <w:i/>
          <w:sz w:val="20"/>
          <w:szCs w:val="20"/>
        </w:rPr>
        <w:t>Residency</w:t>
      </w:r>
      <w:proofErr w:type="spellEnd"/>
      <w:r w:rsidRPr="00681ADC">
        <w:rPr>
          <w:rFonts w:asciiTheme="minorHAnsi" w:hAnsiTheme="minorHAnsi" w:cs="Arial"/>
          <w:sz w:val="20"/>
          <w:szCs w:val="20"/>
        </w:rPr>
        <w:t xml:space="preserve"> erogati da DELL-EMC, di seguito il dettaglio:</w:t>
      </w:r>
    </w:p>
    <w:tbl>
      <w:tblPr>
        <w:tblW w:w="4174" w:type="pct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4038"/>
      </w:tblGrid>
      <w:tr w:rsidR="00681ADC" w:rsidRPr="00681ADC" w:rsidTr="00993D24">
        <w:trPr>
          <w:trHeight w:val="282"/>
          <w:jc w:val="center"/>
        </w:trPr>
        <w:tc>
          <w:tcPr>
            <w:tcW w:w="2207" w:type="pct"/>
            <w:shd w:val="clear" w:color="auto" w:fill="D6E3BC"/>
            <w:tcMar>
              <w:top w:w="53" w:type="dxa"/>
              <w:left w:w="110" w:type="dxa"/>
              <w:bottom w:w="0" w:type="dxa"/>
              <w:right w:w="45" w:type="dxa"/>
            </w:tcMar>
            <w:vAlign w:val="center"/>
            <w:hideMark/>
          </w:tcPr>
          <w:p w:rsidR="00681ADC" w:rsidRPr="00681ADC" w:rsidRDefault="00681ADC" w:rsidP="0026477D">
            <w:pPr>
              <w:spacing w:line="360" w:lineRule="auto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681ADC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Codice</w:t>
            </w:r>
            <w:proofErr w:type="spellEnd"/>
          </w:p>
        </w:tc>
        <w:tc>
          <w:tcPr>
            <w:tcW w:w="2793" w:type="pct"/>
            <w:shd w:val="clear" w:color="auto" w:fill="D6E3BC"/>
            <w:tcMar>
              <w:top w:w="53" w:type="dxa"/>
              <w:left w:w="110" w:type="dxa"/>
              <w:bottom w:w="0" w:type="dxa"/>
              <w:right w:w="45" w:type="dxa"/>
            </w:tcMar>
            <w:vAlign w:val="center"/>
            <w:hideMark/>
          </w:tcPr>
          <w:p w:rsidR="00681ADC" w:rsidRPr="00681ADC" w:rsidRDefault="00681ADC" w:rsidP="0026477D">
            <w:pPr>
              <w:spacing w:line="360" w:lineRule="auto"/>
              <w:ind w:left="14"/>
              <w:jc w:val="center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681ADC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Figura</w:t>
            </w:r>
            <w:proofErr w:type="spellEnd"/>
            <w:r w:rsidRPr="00681ADC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ADC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professionale</w:t>
            </w:r>
            <w:proofErr w:type="spellEnd"/>
          </w:p>
        </w:tc>
      </w:tr>
      <w:tr w:rsidR="00681ADC" w:rsidRPr="00681ADC" w:rsidTr="00993D24">
        <w:trPr>
          <w:trHeight w:val="178"/>
          <w:jc w:val="center"/>
        </w:trPr>
        <w:tc>
          <w:tcPr>
            <w:tcW w:w="2207" w:type="pct"/>
            <w:tcMar>
              <w:top w:w="53" w:type="dxa"/>
              <w:left w:w="110" w:type="dxa"/>
              <w:bottom w:w="0" w:type="dxa"/>
              <w:right w:w="45" w:type="dxa"/>
            </w:tcMar>
            <w:vAlign w:val="center"/>
            <w:hideMark/>
          </w:tcPr>
          <w:p w:rsidR="00681ADC" w:rsidRPr="00681ADC" w:rsidRDefault="00681ADC" w:rsidP="0026477D">
            <w:pPr>
              <w:spacing w:line="360" w:lineRule="auto"/>
              <w:ind w:left="34"/>
              <w:jc w:val="center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681ADC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PS-CUS-ESDRES</w:t>
            </w:r>
          </w:p>
        </w:tc>
        <w:tc>
          <w:tcPr>
            <w:tcW w:w="2793" w:type="pct"/>
            <w:tcMar>
              <w:top w:w="53" w:type="dxa"/>
              <w:left w:w="110" w:type="dxa"/>
              <w:bottom w:w="0" w:type="dxa"/>
              <w:right w:w="45" w:type="dxa"/>
            </w:tcMar>
            <w:vAlign w:val="center"/>
            <w:hideMark/>
          </w:tcPr>
          <w:p w:rsidR="00681ADC" w:rsidRPr="00681ADC" w:rsidRDefault="00681ADC" w:rsidP="0026477D">
            <w:pPr>
              <w:spacing w:line="360" w:lineRule="auto"/>
              <w:ind w:right="68"/>
              <w:jc w:val="center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681ADC">
              <w:rPr>
                <w:rFonts w:asciiTheme="minorHAnsi" w:hAnsiTheme="minorHAnsi"/>
                <w:sz w:val="20"/>
                <w:szCs w:val="20"/>
                <w:lang w:val="en-US"/>
              </w:rPr>
              <w:t>Resident Implementation Specialist EMC</w:t>
            </w:r>
          </w:p>
        </w:tc>
      </w:tr>
      <w:tr w:rsidR="00681ADC" w:rsidRPr="00681ADC" w:rsidTr="00993D24">
        <w:trPr>
          <w:trHeight w:val="226"/>
          <w:jc w:val="center"/>
        </w:trPr>
        <w:tc>
          <w:tcPr>
            <w:tcW w:w="2207" w:type="pct"/>
            <w:tcMar>
              <w:top w:w="53" w:type="dxa"/>
              <w:left w:w="110" w:type="dxa"/>
              <w:bottom w:w="0" w:type="dxa"/>
              <w:right w:w="45" w:type="dxa"/>
            </w:tcMar>
            <w:vAlign w:val="center"/>
            <w:hideMark/>
          </w:tcPr>
          <w:p w:rsidR="00681ADC" w:rsidRPr="00681ADC" w:rsidRDefault="00681ADC" w:rsidP="0026477D">
            <w:pPr>
              <w:spacing w:line="360" w:lineRule="auto"/>
              <w:ind w:left="36"/>
              <w:jc w:val="center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681ADC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PS-CUS-BRSRES</w:t>
            </w:r>
          </w:p>
        </w:tc>
        <w:tc>
          <w:tcPr>
            <w:tcW w:w="2793" w:type="pct"/>
            <w:tcMar>
              <w:top w:w="53" w:type="dxa"/>
              <w:left w:w="110" w:type="dxa"/>
              <w:bottom w:w="0" w:type="dxa"/>
              <w:right w:w="45" w:type="dxa"/>
            </w:tcMar>
            <w:vAlign w:val="center"/>
            <w:hideMark/>
          </w:tcPr>
          <w:p w:rsidR="00681ADC" w:rsidRPr="00681ADC" w:rsidRDefault="00681ADC" w:rsidP="0026477D">
            <w:pPr>
              <w:spacing w:line="360" w:lineRule="auto"/>
              <w:ind w:right="68"/>
              <w:jc w:val="center"/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</w:pPr>
            <w:r w:rsidRPr="00681ADC">
              <w:rPr>
                <w:rFonts w:asciiTheme="minorHAnsi" w:hAnsiTheme="minorHAnsi"/>
                <w:sz w:val="20"/>
                <w:szCs w:val="20"/>
                <w:lang w:val="en-US"/>
              </w:rPr>
              <w:t>Resident Solution Architect EMC</w:t>
            </w:r>
          </w:p>
        </w:tc>
      </w:tr>
    </w:tbl>
    <w:p w:rsidR="00681ADC" w:rsidRPr="00681ADC" w:rsidRDefault="00681ADC" w:rsidP="0026477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81ADC" w:rsidRPr="00681ADC" w:rsidRDefault="00681ADC" w:rsidP="0026477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b/>
          <w:sz w:val="20"/>
          <w:szCs w:val="20"/>
        </w:rPr>
        <w:t>Servizi professionali</w:t>
      </w:r>
      <w:r w:rsidRPr="00681ADC">
        <w:rPr>
          <w:rFonts w:asciiTheme="minorHAnsi" w:hAnsiTheme="minorHAnsi" w:cs="Arial"/>
          <w:sz w:val="20"/>
          <w:szCs w:val="20"/>
        </w:rPr>
        <w:t>, acquistabili a consumo, erogati dalle seguenti figure professionali:</w:t>
      </w:r>
    </w:p>
    <w:p w:rsidR="00681ADC" w:rsidRPr="00681ADC" w:rsidRDefault="00681ADC" w:rsidP="0026477D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  <w:r w:rsidRPr="00681ADC">
        <w:rPr>
          <w:rFonts w:asciiTheme="minorHAnsi" w:hAnsiTheme="minorHAnsi"/>
          <w:i/>
          <w:sz w:val="20"/>
          <w:szCs w:val="20"/>
          <w:lang w:val="en-US"/>
        </w:rPr>
        <w:t>Solution Architect EMC</w:t>
      </w:r>
    </w:p>
    <w:p w:rsidR="00681ADC" w:rsidRPr="00681ADC" w:rsidRDefault="00681ADC" w:rsidP="0026477D">
      <w:pPr>
        <w:pStyle w:val="Paragrafoelenco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  <w:r w:rsidRPr="00681ADC">
        <w:rPr>
          <w:rFonts w:asciiTheme="minorHAnsi" w:hAnsiTheme="minorHAnsi"/>
          <w:i/>
          <w:sz w:val="20"/>
          <w:szCs w:val="20"/>
          <w:lang w:val="en-US"/>
        </w:rPr>
        <w:t>Implementation Specialist EMC</w:t>
      </w:r>
    </w:p>
    <w:p w:rsidR="00681ADC" w:rsidRPr="00681ADC" w:rsidRDefault="00681ADC" w:rsidP="0026477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81ADC" w:rsidRPr="00681ADC" w:rsidRDefault="00681ADC" w:rsidP="0026477D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>Il supporto specialistico</w:t>
      </w:r>
      <w:r w:rsidR="00C66D0D">
        <w:rPr>
          <w:rFonts w:asciiTheme="minorHAnsi" w:hAnsiTheme="minorHAnsi" w:cs="Arial"/>
          <w:sz w:val="20"/>
          <w:szCs w:val="20"/>
        </w:rPr>
        <w:t>, erogato da personale Dell-EMC,</w:t>
      </w:r>
      <w:r w:rsidRPr="00681ADC">
        <w:rPr>
          <w:rFonts w:asciiTheme="minorHAnsi" w:hAnsiTheme="minorHAnsi" w:cs="Arial"/>
          <w:sz w:val="20"/>
          <w:szCs w:val="20"/>
        </w:rPr>
        <w:t xml:space="preserve"> dovrà rivolgere la propria attività al perseguimento dei seguenti obiettivi: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Garantire le conoscenze specifiche delle componenti tecnologiche presenti per proseguire con le iniziative di evoluzione delle funzionalità avanzate;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Garantire in modo univoco a Sogei la possibilità di accesso diretto (non mediato da altre Strutture/Società) oltre che alle strutture di supporto, anche alla Knowledge Base interna del produttore riducendo i possibili tempi di risoluzione e ripristino di eventuali fermi dovuti a malfunzionamenti hardware e/o software con evidenti benefici in termini di qualità del Servizio offerto soprattutto nei casi di impatti su ambienti critici;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Potere interagire in maniera diretta con i laboratori del produttore ai fini della realizzazione di implementazioni o modifiche ad hoc che esaltino le funzionalità native dei prodotti hardware e software;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Garantire la formazione continua e il trasferimento di know-how alle risorse Sogei;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Garantire in modo univoco a Sogei la possibile applicazione di soluzioni correttive attraverso documenti non pubblicati e di proprietà esclusiva del produttore.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681ADC">
        <w:rPr>
          <w:rFonts w:asciiTheme="minorHAnsi" w:hAnsiTheme="minorHAnsi" w:cs="Arial"/>
          <w:sz w:val="20"/>
          <w:szCs w:val="20"/>
          <w:lang w:val="en-US"/>
        </w:rPr>
        <w:t>planning, assessment e health-check periodici;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Fattibilità ed analisi impatto upgrade;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Attività di adeguamento evolutivo delle componenti in ambito; 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>test DR;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>Supporto specialistico all’esercizio degli ambienti;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681ADC">
        <w:rPr>
          <w:rFonts w:asciiTheme="minorHAnsi" w:hAnsiTheme="minorHAnsi" w:cs="Arial"/>
          <w:sz w:val="20"/>
          <w:szCs w:val="20"/>
          <w:lang w:val="en-US"/>
        </w:rPr>
        <w:lastRenderedPageBreak/>
        <w:t>Change management;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681ADC">
        <w:rPr>
          <w:rFonts w:asciiTheme="minorHAnsi" w:hAnsiTheme="minorHAnsi" w:cs="Arial"/>
          <w:sz w:val="20"/>
          <w:szCs w:val="20"/>
          <w:lang w:val="en-US"/>
        </w:rPr>
        <w:t>Supporto al troubleshooting;</w:t>
      </w:r>
    </w:p>
    <w:p w:rsidR="00681ADC" w:rsidRPr="00681ADC" w:rsidRDefault="00681ADC" w:rsidP="0026477D">
      <w:pPr>
        <w:pStyle w:val="Paragrafoelenco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>Valorizzazione delle risorse infrastrutturali attraverso lo sfruttamento di tutte le potenzialità delle stesse.</w:t>
      </w:r>
    </w:p>
    <w:p w:rsidR="00681ADC" w:rsidRPr="00681ADC" w:rsidRDefault="00681ADC" w:rsidP="0026477D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81ADC" w:rsidRPr="00681ADC" w:rsidRDefault="00681ADC" w:rsidP="0026477D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 xml:space="preserve">In via eccezionale potranno essere richieste attività presso il sito di </w:t>
      </w:r>
      <w:proofErr w:type="spellStart"/>
      <w:r w:rsidRPr="00681ADC">
        <w:rPr>
          <w:rFonts w:asciiTheme="minorHAnsi" w:hAnsiTheme="minorHAnsi" w:cs="Arial"/>
          <w:sz w:val="20"/>
          <w:szCs w:val="20"/>
        </w:rPr>
        <w:t>Disaster</w:t>
      </w:r>
      <w:proofErr w:type="spellEnd"/>
      <w:r w:rsidRPr="00681AD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681ADC">
        <w:rPr>
          <w:rFonts w:asciiTheme="minorHAnsi" w:hAnsiTheme="minorHAnsi" w:cs="Arial"/>
          <w:sz w:val="20"/>
          <w:szCs w:val="20"/>
        </w:rPr>
        <w:t>Recovery</w:t>
      </w:r>
      <w:proofErr w:type="spellEnd"/>
      <w:r w:rsidRPr="00681ADC">
        <w:rPr>
          <w:rFonts w:asciiTheme="minorHAnsi" w:hAnsiTheme="minorHAnsi" w:cs="Arial"/>
          <w:sz w:val="20"/>
          <w:szCs w:val="20"/>
        </w:rPr>
        <w:t xml:space="preserve"> della Sogei posto ad una distanza di circa 200 KM dalla sede principale.</w:t>
      </w:r>
    </w:p>
    <w:p w:rsidR="00681ADC" w:rsidRPr="00681ADC" w:rsidRDefault="00681ADC" w:rsidP="0026477D">
      <w:pPr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81ADC">
        <w:rPr>
          <w:rFonts w:asciiTheme="minorHAnsi" w:hAnsiTheme="minorHAnsi" w:cs="Arial"/>
          <w:sz w:val="20"/>
          <w:szCs w:val="20"/>
        </w:rPr>
        <w:t>Inoltre, in via del tutto eccezionale, potrebbe essere richiesta la presenza delle figure professionali anche in orario e giorni diversi dai giorni feriali.</w:t>
      </w:r>
    </w:p>
    <w:p w:rsidR="00681ADC" w:rsidRDefault="00681ADC" w:rsidP="0026477D">
      <w:pPr>
        <w:spacing w:line="360" w:lineRule="auto"/>
        <w:ind w:left="360"/>
        <w:jc w:val="both"/>
        <w:rPr>
          <w:rFonts w:cs="Arial"/>
          <w:szCs w:val="20"/>
        </w:rPr>
      </w:pPr>
    </w:p>
    <w:p w:rsidR="009358C7" w:rsidRDefault="009358C7" w:rsidP="0026477D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 xml:space="preserve">La presente consultazione di mercato ha quindi l’obiettivo di rendere noto agli Operatori di mercato che </w:t>
      </w:r>
      <w:r>
        <w:rPr>
          <w:rFonts w:ascii="Calibri" w:hAnsi="Calibri" w:cs="Arial"/>
          <w:sz w:val="20"/>
          <w:szCs w:val="20"/>
        </w:rPr>
        <w:t xml:space="preserve">Consip </w:t>
      </w:r>
      <w:r w:rsidRPr="009358C7">
        <w:rPr>
          <w:rFonts w:ascii="Calibri" w:hAnsi="Calibri" w:cs="Arial"/>
          <w:sz w:val="20"/>
          <w:szCs w:val="20"/>
        </w:rPr>
        <w:t>ha necessità di approvvigionarsi degli elementi sopra indicati e di comprendere quali operatori economici/player di mercato hanno la possibilità di offrire tali servizi.</w:t>
      </w:r>
    </w:p>
    <w:p w:rsidR="009358C7" w:rsidRPr="009358C7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358C7" w:rsidRPr="009358C7" w:rsidRDefault="009358C7" w:rsidP="009358C7">
      <w:pPr>
        <w:spacing w:line="360" w:lineRule="auto"/>
        <w:ind w:firstLine="360"/>
        <w:jc w:val="both"/>
        <w:rPr>
          <w:rFonts w:ascii="Calibri" w:hAnsi="Calibri" w:cs="Arial"/>
          <w:b/>
          <w:sz w:val="20"/>
          <w:szCs w:val="20"/>
        </w:rPr>
      </w:pPr>
      <w:r w:rsidRPr="009358C7">
        <w:rPr>
          <w:rFonts w:ascii="Calibri" w:hAnsi="Calibri" w:cs="Arial"/>
          <w:b/>
          <w:sz w:val="20"/>
          <w:szCs w:val="20"/>
        </w:rPr>
        <w:t>Informativa della Stazione appaltante</w:t>
      </w:r>
    </w:p>
    <w:p w:rsidR="009358C7" w:rsidRPr="009358C7" w:rsidRDefault="009358C7" w:rsidP="009337BA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358C7">
        <w:rPr>
          <w:rFonts w:ascii="Calibri" w:hAnsi="Calibri" w:cs="Arial"/>
          <w:sz w:val="20"/>
          <w:szCs w:val="20"/>
        </w:rPr>
        <w:t>Si fa presente che Consip si riserva la facoltà di effettuare ulteriori approfondimenti con le imprese che, rispondendo alla consultazione, abbiano fornito elementi di riscontro positivi rispetto agli obiettivi dell’analisi di mercato.</w:t>
      </w:r>
    </w:p>
    <w:p w:rsidR="009358C7" w:rsidRPr="009358C7" w:rsidRDefault="009358C7" w:rsidP="009358C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Domande – </w:t>
      </w:r>
    </w:p>
    <w:p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E33DA" w:rsidRPr="00CE33DA" w:rsidRDefault="00CE33DA" w:rsidP="00CE33DA">
      <w:pPr>
        <w:pStyle w:val="BodyText21"/>
        <w:numPr>
          <w:ilvl w:val="0"/>
          <w:numId w:val="11"/>
        </w:numPr>
        <w:spacing w:line="36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CE33DA">
        <w:rPr>
          <w:rFonts w:ascii="Calibri" w:hAnsi="Calibri" w:cs="Calibri"/>
          <w:color w:val="000000"/>
          <w:sz w:val="20"/>
          <w:szCs w:val="20"/>
        </w:rPr>
        <w:t xml:space="preserve">Si chiede di riportare una breve descrizione dell’azienda (tipologia di azienda, settori di attività, core business, numero di dipendenti, altro…). </w:t>
      </w:r>
    </w:p>
    <w:tbl>
      <w:tblPr>
        <w:tblStyle w:val="Grigliatabella"/>
        <w:tblW w:w="0" w:type="auto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102"/>
      </w:tblGrid>
      <w:tr w:rsidR="00CE33DA" w:rsidTr="00CE33DA">
        <w:trPr>
          <w:trHeight w:val="1824"/>
        </w:trPr>
        <w:tc>
          <w:tcPr>
            <w:tcW w:w="8102" w:type="dxa"/>
            <w:shd w:val="clear" w:color="auto" w:fill="F2F2F2" w:themeFill="background1" w:themeFillShade="F2"/>
          </w:tcPr>
          <w:p w:rsidR="00CE33DA" w:rsidRDefault="00CE33DA" w:rsidP="00993D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E33DA" w:rsidRDefault="00CE33DA" w:rsidP="00CE33D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920CC" w:rsidRPr="00971054" w:rsidRDefault="00D2474C" w:rsidP="00CE33D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71054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CE33DA" w:rsidRPr="00CE33DA">
        <w:rPr>
          <w:rFonts w:asciiTheme="minorHAnsi" w:hAnsiTheme="minorHAnsi" w:cs="Arial"/>
          <w:bCs/>
          <w:sz w:val="20"/>
          <w:szCs w:val="20"/>
        </w:rPr>
        <w:t>SERVIZI DI ASSISTENZA TECNICA E MANUTENZIONE</w:t>
      </w:r>
      <w:r w:rsidR="00CE33D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71054">
        <w:rPr>
          <w:rFonts w:asciiTheme="minorHAnsi" w:hAnsiTheme="minorHAnsi" w:cs="Arial"/>
          <w:bCs/>
          <w:sz w:val="20"/>
          <w:szCs w:val="20"/>
        </w:rPr>
        <w:t xml:space="preserve">nel </w:t>
      </w:r>
      <w:r w:rsidR="00CE33DA">
        <w:rPr>
          <w:rFonts w:asciiTheme="minorHAnsi" w:hAnsiTheme="minorHAnsi" w:cs="Arial"/>
          <w:bCs/>
          <w:sz w:val="20"/>
          <w:szCs w:val="20"/>
        </w:rPr>
        <w:t>biennio</w:t>
      </w:r>
      <w:r w:rsidR="00194300">
        <w:rPr>
          <w:rFonts w:asciiTheme="minorHAnsi" w:hAnsiTheme="minorHAnsi" w:cs="Arial"/>
          <w:bCs/>
          <w:sz w:val="20"/>
          <w:szCs w:val="20"/>
        </w:rPr>
        <w:t xml:space="preserve"> precedente all’anno corrente</w:t>
      </w:r>
      <w:r w:rsidR="002B7ED1" w:rsidRPr="00971054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21"/>
      </w:tblGrid>
      <w:tr w:rsidR="009D4460" w:rsidTr="00C66D0D">
        <w:trPr>
          <w:trHeight w:val="1824"/>
        </w:trPr>
        <w:tc>
          <w:tcPr>
            <w:tcW w:w="8221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4B276B" w:rsidRPr="004B276B" w:rsidRDefault="00CE33DA" w:rsidP="004B276B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B276B">
        <w:rPr>
          <w:rFonts w:ascii="Calibri" w:hAnsi="Calibri" w:cs="Arial"/>
          <w:sz w:val="20"/>
          <w:szCs w:val="20"/>
        </w:rPr>
        <w:t>In relazione a quanto compreso nell’oggetto dell’iniziativa, descrivere le politiche commerciali, per la rivendita di ciascuna delle tipologie di servizi precedentemente descritti.</w:t>
      </w:r>
      <w:r w:rsidR="004B276B" w:rsidRPr="004B276B">
        <w:rPr>
          <w:rFonts w:ascii="Calibri" w:hAnsi="Calibri" w:cs="Arial"/>
          <w:sz w:val="20"/>
          <w:szCs w:val="20"/>
        </w:rPr>
        <w:t xml:space="preserve"> In particolare, con riferimento ai servizi </w:t>
      </w:r>
      <w:proofErr w:type="spellStart"/>
      <w:r w:rsidR="004B276B" w:rsidRPr="004B276B">
        <w:rPr>
          <w:rFonts w:ascii="Calibri" w:hAnsi="Calibri" w:cs="Arial"/>
          <w:sz w:val="20"/>
          <w:szCs w:val="20"/>
        </w:rPr>
        <w:t>Residency</w:t>
      </w:r>
      <w:proofErr w:type="spellEnd"/>
      <w:r w:rsidR="004B276B" w:rsidRPr="004B276B">
        <w:rPr>
          <w:rFonts w:ascii="Calibri" w:hAnsi="Calibri" w:cs="Arial"/>
          <w:sz w:val="20"/>
          <w:szCs w:val="20"/>
        </w:rPr>
        <w:t xml:space="preserve"> DELL-EMC e ai servizi professionali a consumo, indicare se sono già presenti contratti continuativi di collaborazione, di cui all’art. 105 comma 3 </w:t>
      </w:r>
      <w:proofErr w:type="spellStart"/>
      <w:r w:rsidR="004B276B" w:rsidRPr="004B276B">
        <w:rPr>
          <w:rFonts w:ascii="Calibri" w:hAnsi="Calibri" w:cs="Arial"/>
          <w:sz w:val="20"/>
          <w:szCs w:val="20"/>
        </w:rPr>
        <w:t>lett</w:t>
      </w:r>
      <w:proofErr w:type="spellEnd"/>
      <w:r w:rsidR="004B276B" w:rsidRPr="004B276B">
        <w:rPr>
          <w:rFonts w:ascii="Calibri" w:hAnsi="Calibri" w:cs="Arial"/>
          <w:sz w:val="20"/>
          <w:szCs w:val="20"/>
        </w:rPr>
        <w:t xml:space="preserve">. c-bis) del </w:t>
      </w:r>
      <w:proofErr w:type="spellStart"/>
      <w:r w:rsidR="004B276B" w:rsidRPr="004B276B">
        <w:rPr>
          <w:rFonts w:ascii="Calibri" w:hAnsi="Calibri" w:cs="Arial"/>
          <w:sz w:val="20"/>
          <w:szCs w:val="20"/>
        </w:rPr>
        <w:t>D.Lgs.</w:t>
      </w:r>
      <w:proofErr w:type="spellEnd"/>
      <w:r w:rsidR="004B276B" w:rsidRPr="004B276B">
        <w:rPr>
          <w:rFonts w:ascii="Calibri" w:hAnsi="Calibri" w:cs="Arial"/>
          <w:sz w:val="20"/>
          <w:szCs w:val="20"/>
        </w:rPr>
        <w:t xml:space="preserve"> 50/2016, con la casa madre e, in caso, indicare cosa prevedono tali contratti.</w:t>
      </w:r>
    </w:p>
    <w:tbl>
      <w:tblPr>
        <w:tblStyle w:val="Grigliatabella"/>
        <w:tblW w:w="0" w:type="auto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102"/>
      </w:tblGrid>
      <w:tr w:rsidR="002B7ED1" w:rsidTr="00CE33DA">
        <w:trPr>
          <w:trHeight w:val="1824"/>
        </w:trPr>
        <w:tc>
          <w:tcPr>
            <w:tcW w:w="8102" w:type="dxa"/>
            <w:shd w:val="clear" w:color="auto" w:fill="F2F2F2" w:themeFill="background1" w:themeFillShade="F2"/>
          </w:tcPr>
          <w:p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E33DA" w:rsidRPr="00CE33DA" w:rsidRDefault="00CE33DA" w:rsidP="00CE33D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E33DA">
        <w:rPr>
          <w:rFonts w:asciiTheme="minorHAnsi" w:hAnsiTheme="minorHAnsi" w:cs="Arial"/>
          <w:bCs/>
          <w:sz w:val="20"/>
          <w:szCs w:val="20"/>
        </w:rPr>
        <w:t xml:space="preserve">La Vostra azienda è in possesso di specifici livelli di partnership con </w:t>
      </w:r>
      <w:r>
        <w:rPr>
          <w:rFonts w:asciiTheme="minorHAnsi" w:hAnsiTheme="minorHAnsi" w:cs="Arial"/>
          <w:bCs/>
          <w:sz w:val="20"/>
          <w:szCs w:val="20"/>
        </w:rPr>
        <w:t>la casa madre</w:t>
      </w:r>
      <w:r w:rsidRPr="00CE33D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Dell-EMC</w:t>
      </w:r>
      <w:r w:rsidRPr="00CE33DA">
        <w:rPr>
          <w:rFonts w:asciiTheme="minorHAnsi" w:hAnsiTheme="minorHAnsi" w:cs="Arial"/>
          <w:bCs/>
          <w:sz w:val="20"/>
          <w:szCs w:val="20"/>
        </w:rPr>
        <w:t>? Se si, indicare il livello e descrivere dettagliatamente le caratteristiche tecniche e gli accordi commerciali che definiscono la partnership, incluse eventuali particolari condizioni e/o limitazioni nella rivendita di servizi.</w:t>
      </w:r>
    </w:p>
    <w:tbl>
      <w:tblPr>
        <w:tblStyle w:val="Grigliatabella"/>
        <w:tblW w:w="0" w:type="auto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102"/>
      </w:tblGrid>
      <w:tr w:rsidR="009D4460" w:rsidTr="00CE33DA">
        <w:trPr>
          <w:trHeight w:val="1824"/>
        </w:trPr>
        <w:tc>
          <w:tcPr>
            <w:tcW w:w="8102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Pr="00D509A9" w:rsidRDefault="00CE33DA" w:rsidP="00CE33D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E33DA">
        <w:rPr>
          <w:rFonts w:asciiTheme="minorHAnsi" w:hAnsiTheme="minorHAnsi" w:cs="Arial"/>
          <w:bCs/>
          <w:sz w:val="20"/>
          <w:szCs w:val="20"/>
        </w:rPr>
        <w:t>Si chiede di indicare se l’azienda è presente sul Sistema Dinamico di Acquisizione, in particolare per la categoria SERVIZI DI ASSISTENZA TECNICA E MANUTENZIONE, fornendo indicazioni circa la classe di fatturato.</w:t>
      </w:r>
    </w:p>
    <w:tbl>
      <w:tblPr>
        <w:tblStyle w:val="Grigliatabella"/>
        <w:tblW w:w="0" w:type="auto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102"/>
      </w:tblGrid>
      <w:tr w:rsidR="009D4460" w:rsidTr="0044290A">
        <w:trPr>
          <w:trHeight w:val="1824"/>
        </w:trPr>
        <w:tc>
          <w:tcPr>
            <w:tcW w:w="8102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509A9" w:rsidRPr="00D509A9" w:rsidRDefault="00CE33DA" w:rsidP="00CE33D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E33DA">
        <w:rPr>
          <w:rFonts w:ascii="Calibri" w:hAnsi="Calibri" w:cs="Arial"/>
          <w:sz w:val="20"/>
          <w:szCs w:val="20"/>
        </w:rPr>
        <w:t>Si chiede di indicare ulteriori elementi/informazioni che possano essere utili per lo sviluppo della presente iniziativa</w:t>
      </w:r>
      <w:r w:rsidR="0044290A">
        <w:rPr>
          <w:rFonts w:ascii="Calibri" w:hAnsi="Calibri" w:cs="Arial"/>
          <w:sz w:val="20"/>
          <w:szCs w:val="20"/>
        </w:rPr>
        <w:t>.</w:t>
      </w:r>
    </w:p>
    <w:p w:rsidR="00D509A9" w:rsidRPr="009D4460" w:rsidRDefault="00D509A9" w:rsidP="00D509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102"/>
      </w:tblGrid>
      <w:tr w:rsidR="00D509A9" w:rsidTr="0044290A">
        <w:trPr>
          <w:trHeight w:val="1824"/>
        </w:trPr>
        <w:tc>
          <w:tcPr>
            <w:tcW w:w="8102" w:type="dxa"/>
            <w:shd w:val="clear" w:color="auto" w:fill="F2F2F2" w:themeFill="background1" w:themeFillShade="F2"/>
          </w:tcPr>
          <w:p w:rsidR="00D509A9" w:rsidRDefault="00D509A9" w:rsidP="00D237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509A9" w:rsidRDefault="00D509A9" w:rsidP="00D509A9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D509A9" w:rsidRDefault="00D509A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290A" w:rsidRDefault="0044290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290A" w:rsidRDefault="0044290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Pr="009358C7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9358C7">
        <w:rPr>
          <w:rFonts w:asciiTheme="minorHAnsi" w:hAnsiTheme="minorHAnsi" w:cs="Arial"/>
          <w:bCs/>
          <w:sz w:val="20"/>
          <w:szCs w:val="20"/>
          <w:u w:val="single"/>
        </w:rPr>
        <w:t>Con la sottoscrizione del Documento di Consultazione del mercato, l’interessato acconsente espressamente al trattamento dei propri Dati personali più sopra 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6E76A1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971054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F3" w:rsidRDefault="00476BF3">
      <w:r>
        <w:separator/>
      </w:r>
    </w:p>
  </w:endnote>
  <w:endnote w:type="continuationSeparator" w:id="0">
    <w:p w:rsidR="00476BF3" w:rsidRDefault="00476BF3">
      <w:r>
        <w:continuationSeparator/>
      </w:r>
    </w:p>
  </w:endnote>
  <w:endnote w:type="continuationNotice" w:id="1">
    <w:p w:rsidR="00476BF3" w:rsidRDefault="00476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7" w:rsidRPr="009358C7" w:rsidRDefault="00933D1D" w:rsidP="009358C7">
    <w:pPr>
      <w:pStyle w:val="Pidipagina"/>
      <w:pBdr>
        <w:top w:val="single" w:sz="4" w:space="1" w:color="auto"/>
      </w:pBd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8FD3CB" wp14:editId="2ABD0563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633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633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4633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4633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9358C7"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Classificazione Consip Public</w:t>
    </w:r>
  </w:p>
  <w:p w:rsidR="009358C7" w:rsidRPr="00933D1D" w:rsidRDefault="009337BA" w:rsidP="00C1668D">
    <w:pPr>
      <w:pStyle w:val="Pidipagina"/>
      <w:ind w:right="991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</w:t>
    </w:r>
    <w:r w:rsidR="00C1668D" w:rsidRPr="00C1668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</w:t>
    </w:r>
    <w:r w:rsidR="00C1668D"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Consultazione di mercato per l’acquisizione</w:t>
    </w:r>
    <w:r w:rsidR="00C1668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di servizi di supporto tecnologico in ambiente DELL-EMC della durata di 36 mesi per Sogei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7" w:rsidRPr="009358C7" w:rsidRDefault="009358C7" w:rsidP="009358C7">
    <w:pPr>
      <w:pStyle w:val="Pidipagina"/>
      <w:pBdr>
        <w:top w:val="single" w:sz="4" w:space="1" w:color="auto"/>
      </w:pBd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</w:pPr>
    <w:r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Classificazione Consip Public</w:t>
    </w:r>
  </w:p>
  <w:p w:rsidR="00933D1D" w:rsidRPr="00933D1D" w:rsidRDefault="009358C7" w:rsidP="009358C7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58C7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Consip S.p.A. – Consultazione di mercato per l’acquisizione</w:t>
    </w: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 xml:space="preserve"> </w:t>
    </w:r>
    <w:r w:rsidR="00C1668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w:t>di servizi di supporto tecnologico in ambiente DELL-EMC della durata di 36 mesi per Sogei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F3" w:rsidRDefault="00476BF3">
      <w:r>
        <w:separator/>
      </w:r>
    </w:p>
  </w:footnote>
  <w:footnote w:type="continuationSeparator" w:id="0">
    <w:p w:rsidR="00476BF3" w:rsidRDefault="00476BF3">
      <w:r>
        <w:continuationSeparator/>
      </w:r>
    </w:p>
  </w:footnote>
  <w:footnote w:type="continuationNotice" w:id="1">
    <w:p w:rsidR="00476BF3" w:rsidRDefault="00476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1698"/>
      <w:docPartObj>
        <w:docPartGallery w:val="Page Numbers (Top of Page)"/>
        <w:docPartUnique/>
      </w:docPartObj>
    </w:sdtPr>
    <w:sdtEndPr/>
    <w:sdtContent>
      <w:p w:rsidR="009358C7" w:rsidRDefault="009358C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3B">
          <w:rPr>
            <w:noProof/>
          </w:rPr>
          <w:t>1</w:t>
        </w:r>
        <w:r>
          <w:fldChar w:fldCharType="end"/>
        </w:r>
      </w:p>
    </w:sdtContent>
  </w:sdt>
  <w:p w:rsidR="00E64917" w:rsidRDefault="00E64917" w:rsidP="00670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41"/>
    <w:multiLevelType w:val="hybridMultilevel"/>
    <w:tmpl w:val="4D425890"/>
    <w:lvl w:ilvl="0" w:tplc="04DA7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BD9"/>
    <w:multiLevelType w:val="hybridMultilevel"/>
    <w:tmpl w:val="3CA29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3B4A"/>
    <w:multiLevelType w:val="hybridMultilevel"/>
    <w:tmpl w:val="76F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5A53C6"/>
    <w:multiLevelType w:val="hybridMultilevel"/>
    <w:tmpl w:val="9182AA9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5F1B63C7"/>
    <w:multiLevelType w:val="hybridMultilevel"/>
    <w:tmpl w:val="443AC19E"/>
    <w:lvl w:ilvl="0" w:tplc="260E6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4D76"/>
    <w:multiLevelType w:val="hybridMultilevel"/>
    <w:tmpl w:val="9EF8379E"/>
    <w:lvl w:ilvl="0" w:tplc="C418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128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50D4E"/>
    <w:rsid w:val="00163F7A"/>
    <w:rsid w:val="00165527"/>
    <w:rsid w:val="00170074"/>
    <w:rsid w:val="00174E83"/>
    <w:rsid w:val="00177E9E"/>
    <w:rsid w:val="001843B1"/>
    <w:rsid w:val="001905CA"/>
    <w:rsid w:val="00190CA4"/>
    <w:rsid w:val="00194300"/>
    <w:rsid w:val="001969CB"/>
    <w:rsid w:val="001A15BE"/>
    <w:rsid w:val="001A6EB5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1F7FC6"/>
    <w:rsid w:val="00202371"/>
    <w:rsid w:val="002067E2"/>
    <w:rsid w:val="00216AC3"/>
    <w:rsid w:val="002242D2"/>
    <w:rsid w:val="00225B7D"/>
    <w:rsid w:val="00227E5B"/>
    <w:rsid w:val="002525BB"/>
    <w:rsid w:val="00252F98"/>
    <w:rsid w:val="0026477D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3F02E3"/>
    <w:rsid w:val="00400345"/>
    <w:rsid w:val="00403933"/>
    <w:rsid w:val="00411E26"/>
    <w:rsid w:val="004130CF"/>
    <w:rsid w:val="00414DA3"/>
    <w:rsid w:val="00425CAA"/>
    <w:rsid w:val="0044290A"/>
    <w:rsid w:val="00451888"/>
    <w:rsid w:val="00461FFB"/>
    <w:rsid w:val="0046597F"/>
    <w:rsid w:val="00465FF3"/>
    <w:rsid w:val="00466099"/>
    <w:rsid w:val="00467FAD"/>
    <w:rsid w:val="00471495"/>
    <w:rsid w:val="00471CD6"/>
    <w:rsid w:val="00476BF3"/>
    <w:rsid w:val="004922F1"/>
    <w:rsid w:val="004928F5"/>
    <w:rsid w:val="004A05C2"/>
    <w:rsid w:val="004A4EB1"/>
    <w:rsid w:val="004B276B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13C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633B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1FA9"/>
    <w:rsid w:val="0067215C"/>
    <w:rsid w:val="00675316"/>
    <w:rsid w:val="00681ADC"/>
    <w:rsid w:val="00692510"/>
    <w:rsid w:val="00695EB4"/>
    <w:rsid w:val="006C3089"/>
    <w:rsid w:val="006C6158"/>
    <w:rsid w:val="006D18B1"/>
    <w:rsid w:val="006D1DAB"/>
    <w:rsid w:val="006D5F69"/>
    <w:rsid w:val="006E0A39"/>
    <w:rsid w:val="006E76A1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D63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6B2B"/>
    <w:rsid w:val="0092729E"/>
    <w:rsid w:val="00930E10"/>
    <w:rsid w:val="009337BA"/>
    <w:rsid w:val="00933D1D"/>
    <w:rsid w:val="00933FFF"/>
    <w:rsid w:val="00934CBF"/>
    <w:rsid w:val="009358C7"/>
    <w:rsid w:val="00943C7F"/>
    <w:rsid w:val="0094467A"/>
    <w:rsid w:val="00951110"/>
    <w:rsid w:val="00952F86"/>
    <w:rsid w:val="00953399"/>
    <w:rsid w:val="00955FB5"/>
    <w:rsid w:val="009615FF"/>
    <w:rsid w:val="00971054"/>
    <w:rsid w:val="009827F3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0821"/>
    <w:rsid w:val="00A63698"/>
    <w:rsid w:val="00A73E51"/>
    <w:rsid w:val="00A74C12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D747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1802"/>
    <w:rsid w:val="00C044D3"/>
    <w:rsid w:val="00C142F5"/>
    <w:rsid w:val="00C1668D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66D0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C65DC"/>
    <w:rsid w:val="00CD5703"/>
    <w:rsid w:val="00CD72AC"/>
    <w:rsid w:val="00CE01CE"/>
    <w:rsid w:val="00CE1696"/>
    <w:rsid w:val="00CE33DA"/>
    <w:rsid w:val="00CE5979"/>
    <w:rsid w:val="00CE5CCA"/>
    <w:rsid w:val="00CE72E2"/>
    <w:rsid w:val="00CF0E60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09A9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2B39"/>
    <w:rsid w:val="00F47F03"/>
    <w:rsid w:val="00F617B0"/>
    <w:rsid w:val="00F63E78"/>
    <w:rsid w:val="00F64486"/>
    <w:rsid w:val="00F6473D"/>
    <w:rsid w:val="00F647ED"/>
    <w:rsid w:val="00F73694"/>
    <w:rsid w:val="00F85106"/>
    <w:rsid w:val="00F8539B"/>
    <w:rsid w:val="00FA2E9A"/>
    <w:rsid w:val="00FA737A"/>
    <w:rsid w:val="00FB65C2"/>
    <w:rsid w:val="00FB716F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72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74C1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358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358C7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72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74C1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358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358C7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2905-F21C-40E6-9D0D-9F0510B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2018-10-26T12:11:00Z</dcterms:created>
  <dcterms:modified xsi:type="dcterms:W3CDTF">2018-10-26T12:33:00Z</dcterms:modified>
</cp:coreProperties>
</file>